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Times New Roman" w:hAnsi="Times New Roman" w:eastAsia="仿宋_GB2312" w:cs="Times New Roman"/>
          <w:sz w:val="32"/>
          <w:szCs w:val="32"/>
          <w:lang w:eastAsia="zh-CN"/>
        </w:rPr>
      </w:pPr>
      <w:bookmarkStart w:id="0" w:name="_GoBack"/>
      <w:bookmarkEnd w:id="0"/>
    </w:p>
    <w:p>
      <w:pPr>
        <w:spacing w:line="560" w:lineRule="exact"/>
        <w:jc w:val="center"/>
        <w:rPr>
          <w:rFonts w:ascii="Times New Roman" w:hAnsi="Times New Roman" w:eastAsia="仿宋_GB2312" w:cs="Times New Roman"/>
          <w:sz w:val="32"/>
          <w:szCs w:val="32"/>
        </w:rPr>
      </w:pPr>
      <w:r>
        <w:rPr>
          <w:rFonts w:hint="eastAsia" w:ascii="Times New Roman" w:hAnsi="Times New Roman" w:eastAsia="方正小标宋简体" w:cs="Times New Roman"/>
          <w:sz w:val="44"/>
          <w:szCs w:val="44"/>
          <w:lang w:eastAsia="zh-CN"/>
        </w:rPr>
        <w:t>《广州市新兴产业发展引导基金管理办法》</w:t>
      </w:r>
      <w:r>
        <w:rPr>
          <w:rFonts w:ascii="Times New Roman" w:hAnsi="Times New Roman" w:eastAsia="方正小标宋简体" w:cs="Times New Roman"/>
          <w:sz w:val="44"/>
          <w:szCs w:val="44"/>
        </w:rPr>
        <w:t>起草说明</w:t>
      </w:r>
    </w:p>
    <w:p>
      <w:pPr>
        <w:spacing w:line="560" w:lineRule="exact"/>
        <w:jc w:val="center"/>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市发展改革委</w:t>
      </w:r>
    </w:p>
    <w:p>
      <w:pPr>
        <w:spacing w:line="560" w:lineRule="exact"/>
        <w:jc w:val="center"/>
        <w:rPr>
          <w:rFonts w:hint="eastAsia" w:ascii="楷体_GB2312" w:hAnsi="楷体_GB2312" w:eastAsia="楷体_GB2312" w:cs="楷体_GB2312"/>
          <w:sz w:val="32"/>
          <w:szCs w:val="32"/>
          <w:lang w:eastAsia="zh-CN"/>
        </w:rPr>
      </w:pPr>
    </w:p>
    <w:p>
      <w:pPr>
        <w:spacing w:line="560" w:lineRule="exact"/>
        <w:ind w:firstLine="640" w:firstLineChars="200"/>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一、</w:t>
      </w:r>
      <w:r>
        <w:rPr>
          <w:rFonts w:hint="eastAsia" w:ascii="黑体" w:hAnsi="黑体" w:eastAsia="黑体" w:cs="黑体"/>
          <w:b w:val="0"/>
          <w:bCs w:val="0"/>
          <w:sz w:val="32"/>
          <w:szCs w:val="32"/>
          <w:lang w:eastAsia="zh-CN"/>
        </w:rPr>
        <w:t>修订</w:t>
      </w:r>
      <w:r>
        <w:rPr>
          <w:rFonts w:hint="eastAsia" w:ascii="黑体" w:hAnsi="黑体" w:eastAsia="黑体" w:cs="黑体"/>
          <w:b w:val="0"/>
          <w:bCs w:val="0"/>
          <w:sz w:val="32"/>
          <w:szCs w:val="32"/>
        </w:rPr>
        <w:t>目的和必要性</w:t>
      </w:r>
    </w:p>
    <w:p>
      <w:pPr>
        <w:adjustRightInd w:val="0"/>
        <w:snapToGrid w:val="0"/>
        <w:spacing w:line="560" w:lineRule="exact"/>
        <w:ind w:firstLine="640" w:firstLineChars="200"/>
        <w:rPr>
          <w:rFonts w:ascii="Times New Roman" w:hAnsi="Times New Roman" w:eastAsia="楷体" w:cs="Times New Roman"/>
          <w:sz w:val="32"/>
          <w:szCs w:val="32"/>
        </w:rPr>
      </w:pPr>
      <w:r>
        <w:rPr>
          <w:rFonts w:ascii="Times New Roman" w:hAnsi="Times New Roman" w:eastAsia="楷体" w:cs="Times New Roman"/>
          <w:sz w:val="32"/>
          <w:szCs w:val="32"/>
        </w:rPr>
        <w:t>（一）前期运营情况</w:t>
      </w:r>
    </w:p>
    <w:p>
      <w:pPr>
        <w:adjustRightInd w:val="0"/>
        <w:snapToGrid w:val="0"/>
        <w:spacing w:line="56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2018年8月，</w:t>
      </w:r>
      <w:r>
        <w:rPr>
          <w:rFonts w:hint="eastAsia" w:ascii="Times New Roman" w:hAnsi="Times New Roman" w:eastAsia="仿宋_GB2312" w:cs="Times New Roman"/>
          <w:sz w:val="32"/>
          <w:szCs w:val="32"/>
          <w:lang w:eastAsia="zh-CN"/>
        </w:rPr>
        <w:t>我</w:t>
      </w:r>
      <w:r>
        <w:rPr>
          <w:rFonts w:ascii="Times New Roman" w:hAnsi="Times New Roman" w:eastAsia="仿宋_GB2312" w:cs="Times New Roman"/>
          <w:sz w:val="32"/>
          <w:szCs w:val="32"/>
        </w:rPr>
        <w:t>委制定</w:t>
      </w:r>
      <w:r>
        <w:rPr>
          <w:rFonts w:hint="eastAsia" w:ascii="Times New Roman" w:hAnsi="Times New Roman" w:eastAsia="仿宋_GB2312" w:cs="Times New Roman"/>
          <w:sz w:val="32"/>
          <w:szCs w:val="32"/>
          <w:lang w:eastAsia="zh-CN"/>
        </w:rPr>
        <w:t>并印发</w:t>
      </w:r>
      <w:r>
        <w:rPr>
          <w:rFonts w:ascii="Times New Roman" w:hAnsi="Times New Roman" w:eastAsia="仿宋_GB2312" w:cs="Times New Roman"/>
          <w:sz w:val="32"/>
          <w:szCs w:val="32"/>
        </w:rPr>
        <w:t>《广州市新兴产业发展引导基金配套管理实施细则》（穗发改规字〔2018〕10号）</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引导基金以母基金的方式，与国内外优秀股权投资管理机构合作发起设立子基金，投向战略性新兴产业等领域。截至</w:t>
      </w:r>
      <w:r>
        <w:rPr>
          <w:rFonts w:hint="eastAsia" w:ascii="Times New Roman" w:hAnsi="Times New Roman" w:eastAsia="仿宋_GB2312" w:cs="Times New Roman"/>
          <w:sz w:val="32"/>
          <w:szCs w:val="32"/>
          <w:lang w:eastAsia="zh-CN"/>
        </w:rPr>
        <w:t>目前</w:t>
      </w:r>
      <w:r>
        <w:rPr>
          <w:rFonts w:ascii="Times New Roman" w:hAnsi="Times New Roman" w:eastAsia="仿宋_GB2312" w:cs="Times New Roman"/>
          <w:sz w:val="32"/>
          <w:szCs w:val="32"/>
        </w:rPr>
        <w:t>，</w:t>
      </w:r>
      <w:r>
        <w:rPr>
          <w:rFonts w:ascii="Times New Roman" w:hAnsi="Times New Roman" w:eastAsia="仿宋_GB2312" w:cs="Times New Roman"/>
          <w:color w:val="000000" w:themeColor="text1"/>
          <w:sz w:val="32"/>
          <w:szCs w:val="32"/>
          <w14:textFill>
            <w14:solidFill>
              <w14:schemeClr w14:val="tx1"/>
            </w14:solidFill>
          </w14:textFill>
        </w:rPr>
        <w:t>引导基金累计出资52支子基金</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color w:val="000000" w:themeColor="text1"/>
          <w:sz w:val="32"/>
          <w:szCs w:val="32"/>
          <w14:textFill>
            <w14:solidFill>
              <w14:schemeClr w14:val="tx1"/>
            </w14:solidFill>
          </w14:textFill>
        </w:rPr>
        <w:t>子基金累计实缴总规模117.40亿元，财政放大杠杆倍数5.34</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ascii="Times New Roman" w:hAnsi="Times New Roman" w:eastAsia="仿宋_GB2312" w:cs="Times New Roman"/>
          <w:sz w:val="32"/>
          <w:szCs w:val="32"/>
        </w:rPr>
        <w:t>子基金累计项目投资324个，在促进新兴产业发展壮大等方面取得了良好效</w:t>
      </w:r>
      <w:r>
        <w:rPr>
          <w:rFonts w:hint="eastAsia" w:ascii="Times New Roman" w:hAnsi="Times New Roman" w:eastAsia="仿宋_GB2312" w:cs="Times New Roman"/>
          <w:sz w:val="32"/>
          <w:szCs w:val="32"/>
          <w:lang w:eastAsia="zh-CN"/>
        </w:rPr>
        <w:t>成效</w:t>
      </w:r>
      <w:r>
        <w:rPr>
          <w:rFonts w:ascii="Times New Roman" w:hAnsi="Times New Roman" w:eastAsia="仿宋_GB2312" w:cs="Times New Roman"/>
          <w:sz w:val="32"/>
          <w:szCs w:val="32"/>
        </w:rPr>
        <w:t>。</w:t>
      </w:r>
    </w:p>
    <w:p>
      <w:pPr>
        <w:adjustRightInd w:val="0"/>
        <w:snapToGrid w:val="0"/>
        <w:spacing w:line="560" w:lineRule="exact"/>
        <w:ind w:firstLine="640" w:firstLineChars="200"/>
        <w:rPr>
          <w:rFonts w:ascii="Times New Roman" w:hAnsi="Times New Roman" w:eastAsia="楷体" w:cs="Times New Roman"/>
          <w:sz w:val="32"/>
          <w:szCs w:val="32"/>
        </w:rPr>
      </w:pPr>
      <w:r>
        <w:rPr>
          <w:rFonts w:ascii="Times New Roman" w:hAnsi="Times New Roman" w:eastAsia="楷体" w:cs="Times New Roman"/>
          <w:sz w:val="32"/>
          <w:szCs w:val="32"/>
        </w:rPr>
        <w:t>（二）</w:t>
      </w:r>
      <w:r>
        <w:rPr>
          <w:rFonts w:hint="eastAsia" w:ascii="Times New Roman" w:hAnsi="Times New Roman" w:eastAsia="楷体" w:cs="Times New Roman"/>
          <w:sz w:val="32"/>
          <w:szCs w:val="32"/>
          <w:lang w:eastAsia="zh-CN"/>
        </w:rPr>
        <w:t>修订目标和</w:t>
      </w:r>
      <w:r>
        <w:rPr>
          <w:rFonts w:ascii="Times New Roman" w:hAnsi="Times New Roman" w:eastAsia="楷体" w:cs="Times New Roman"/>
          <w:sz w:val="32"/>
          <w:szCs w:val="32"/>
        </w:rPr>
        <w:t>必要性</w:t>
      </w:r>
    </w:p>
    <w:p>
      <w:pPr>
        <w:spacing w:line="560" w:lineRule="exact"/>
        <w:ind w:firstLine="640" w:firstLineChars="200"/>
        <w:jc w:val="left"/>
        <w:rPr>
          <w:rFonts w:hint="eastAsia" w:ascii="Times New Roman" w:hAnsi="Times New Roman" w:eastAsia="仿宋_GB2312" w:cs="Times New Roman"/>
          <w:sz w:val="32"/>
          <w:szCs w:val="32"/>
          <w:lang w:eastAsia="zh-CN"/>
        </w:rPr>
      </w:pPr>
      <w:r>
        <w:rPr>
          <w:rFonts w:ascii="Times New Roman" w:hAnsi="Times New Roman" w:eastAsia="仿宋_GB2312" w:cs="Times New Roman"/>
          <w:sz w:val="32"/>
          <w:szCs w:val="32"/>
        </w:rPr>
        <w:t>近年来，</w:t>
      </w:r>
      <w:r>
        <w:rPr>
          <w:rFonts w:hint="eastAsia" w:ascii="Times New Roman" w:hAnsi="Times New Roman" w:eastAsia="仿宋_GB2312" w:cs="Times New Roman"/>
          <w:sz w:val="32"/>
          <w:szCs w:val="32"/>
          <w:lang w:eastAsia="zh-CN"/>
        </w:rPr>
        <w:t>省内外各地政府</w:t>
      </w:r>
      <w:r>
        <w:rPr>
          <w:rFonts w:ascii="Times New Roman" w:hAnsi="Times New Roman" w:eastAsia="仿宋_GB2312" w:cs="Times New Roman"/>
          <w:sz w:val="32"/>
          <w:szCs w:val="32"/>
        </w:rPr>
        <w:t>引导基金先后修订了管理办法</w:t>
      </w:r>
      <w:r>
        <w:rPr>
          <w:rFonts w:hint="eastAsia" w:ascii="Times New Roman" w:hAnsi="Times New Roman" w:eastAsia="仿宋_GB2312" w:cs="Times New Roman"/>
          <w:sz w:val="32"/>
          <w:szCs w:val="32"/>
          <w:lang w:eastAsia="zh-CN"/>
        </w:rPr>
        <w:t>以提升了政策效能。我委结合</w:t>
      </w:r>
      <w:r>
        <w:rPr>
          <w:rFonts w:ascii="Times New Roman" w:hAnsi="Times New Roman" w:eastAsia="仿宋_GB2312" w:cs="Times New Roman"/>
          <w:sz w:val="32"/>
          <w:szCs w:val="32"/>
        </w:rPr>
        <w:t>广州市新兴产业发展引导基金</w:t>
      </w:r>
      <w:r>
        <w:rPr>
          <w:rFonts w:hint="eastAsia" w:ascii="Times New Roman" w:hAnsi="Times New Roman" w:eastAsia="仿宋_GB2312" w:cs="Times New Roman"/>
          <w:sz w:val="32"/>
          <w:szCs w:val="32"/>
          <w:lang w:eastAsia="zh-CN"/>
        </w:rPr>
        <w:t>前期运作情况，启动原</w:t>
      </w:r>
      <w:r>
        <w:rPr>
          <w:rFonts w:ascii="Times New Roman" w:hAnsi="Times New Roman" w:eastAsia="仿宋_GB2312" w:cs="Times New Roman"/>
          <w:sz w:val="32"/>
          <w:szCs w:val="32"/>
        </w:rPr>
        <w:t>《广州市新兴产业发展引导基金配套管理实施细则》</w:t>
      </w:r>
      <w:r>
        <w:rPr>
          <w:rFonts w:hint="eastAsia" w:ascii="Times New Roman" w:hAnsi="Times New Roman" w:eastAsia="仿宋_GB2312" w:cs="Times New Roman"/>
          <w:sz w:val="32"/>
          <w:szCs w:val="32"/>
          <w:lang w:eastAsia="zh-CN"/>
        </w:rPr>
        <w:t>修订，旨在优化完善政策，为引导基金运作提供</w:t>
      </w:r>
      <w:r>
        <w:rPr>
          <w:rFonts w:ascii="Times New Roman" w:hAnsi="Times New Roman" w:eastAsia="仿宋_GB2312" w:cs="Times New Roman"/>
          <w:sz w:val="32"/>
          <w:szCs w:val="32"/>
        </w:rPr>
        <w:t>更高质量、更有效率、更可持续</w:t>
      </w:r>
      <w:r>
        <w:rPr>
          <w:rFonts w:hint="eastAsia" w:ascii="Times New Roman" w:hAnsi="Times New Roman" w:eastAsia="仿宋_GB2312" w:cs="Times New Roman"/>
          <w:sz w:val="32"/>
          <w:szCs w:val="32"/>
          <w:lang w:eastAsia="zh-CN"/>
        </w:rPr>
        <w:t>发展</w:t>
      </w:r>
      <w:r>
        <w:rPr>
          <w:rFonts w:ascii="Times New Roman" w:hAnsi="Times New Roman" w:eastAsia="仿宋_GB2312" w:cs="Times New Roman"/>
          <w:sz w:val="32"/>
          <w:szCs w:val="32"/>
        </w:rPr>
        <w:t>的制度保障。</w:t>
      </w:r>
      <w:r>
        <w:rPr>
          <w:rFonts w:hint="eastAsia" w:ascii="Times New Roman" w:hAnsi="Times New Roman" w:eastAsia="仿宋_GB2312" w:cs="Times New Roman"/>
          <w:sz w:val="32"/>
          <w:szCs w:val="32"/>
          <w:lang w:eastAsia="zh-CN"/>
        </w:rPr>
        <w:t>在</w:t>
      </w:r>
      <w:r>
        <w:rPr>
          <w:rFonts w:ascii="Times New Roman" w:hAnsi="Times New Roman" w:eastAsia="仿宋_GB2312" w:cs="Times New Roman"/>
          <w:sz w:val="32"/>
          <w:szCs w:val="32"/>
        </w:rPr>
        <w:t>增强政策激励</w:t>
      </w:r>
      <w:r>
        <w:rPr>
          <w:rFonts w:hint="eastAsia" w:ascii="Times New Roman" w:hAnsi="Times New Roman" w:eastAsia="仿宋_GB2312" w:cs="Times New Roman"/>
          <w:sz w:val="32"/>
          <w:szCs w:val="32"/>
          <w:lang w:eastAsia="zh-CN"/>
        </w:rPr>
        <w:t>的同时，加快推动</w:t>
      </w:r>
      <w:r>
        <w:rPr>
          <w:rFonts w:ascii="Times New Roman" w:hAnsi="Times New Roman" w:eastAsia="仿宋_GB2312" w:cs="Times New Roman"/>
          <w:sz w:val="32"/>
          <w:szCs w:val="32"/>
        </w:rPr>
        <w:t>新兴产业</w:t>
      </w:r>
      <w:r>
        <w:rPr>
          <w:rFonts w:hint="eastAsia" w:ascii="Times New Roman" w:hAnsi="Times New Roman" w:eastAsia="仿宋_GB2312" w:cs="Times New Roman"/>
          <w:sz w:val="32"/>
          <w:szCs w:val="32"/>
          <w:lang w:eastAsia="zh-CN"/>
        </w:rPr>
        <w:t>高质量</w:t>
      </w:r>
      <w:r>
        <w:rPr>
          <w:rFonts w:ascii="Times New Roman" w:hAnsi="Times New Roman" w:eastAsia="仿宋_GB2312" w:cs="Times New Roman"/>
          <w:sz w:val="32"/>
          <w:szCs w:val="32"/>
        </w:rPr>
        <w:t>发展</w:t>
      </w:r>
      <w:r>
        <w:rPr>
          <w:rFonts w:hint="eastAsia" w:ascii="Times New Roman" w:hAnsi="Times New Roman" w:eastAsia="仿宋_GB2312" w:cs="Times New Roman"/>
          <w:sz w:val="32"/>
          <w:szCs w:val="32"/>
          <w:lang w:eastAsia="zh-CN"/>
        </w:rPr>
        <w:t>。</w:t>
      </w:r>
    </w:p>
    <w:p>
      <w:pPr>
        <w:spacing w:line="560" w:lineRule="exact"/>
        <w:ind w:firstLine="640" w:firstLineChars="200"/>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二、法律政策依据</w:t>
      </w:r>
    </w:p>
    <w:p>
      <w:pPr>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1. 国家法律法规、国家部委规章和政府规章：</w:t>
      </w:r>
      <w:r>
        <w:rPr>
          <w:rFonts w:ascii="Times New Roman" w:hAnsi="Times New Roman" w:eastAsia="仿宋_GB2312" w:cs="Times New Roman"/>
          <w:color w:val="000000"/>
          <w:sz w:val="32"/>
          <w:szCs w:val="28"/>
        </w:rPr>
        <w:t>《政府投资基金暂行管理办法》（财预〔2015〕210号）、《政府出资产业投资基金管理暂行办法》（发改财金规〔2016〕2800号）</w:t>
      </w:r>
      <w:r>
        <w:rPr>
          <w:rFonts w:ascii="Times New Roman" w:hAnsi="Times New Roman" w:eastAsia="仿宋_GB2312" w:cs="Times New Roman"/>
          <w:sz w:val="32"/>
          <w:szCs w:val="32"/>
        </w:rPr>
        <w:t>。</w:t>
      </w:r>
    </w:p>
    <w:p>
      <w:pPr>
        <w:spacing w:line="560"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 广东省广州市地方性法规、相关规范性文件：</w:t>
      </w:r>
      <w:r>
        <w:rPr>
          <w:rFonts w:ascii="Times New Roman" w:hAnsi="Times New Roman" w:eastAsia="仿宋_GB2312" w:cs="Times New Roman"/>
          <w:color w:val="000000"/>
          <w:sz w:val="32"/>
          <w:szCs w:val="28"/>
        </w:rPr>
        <w:t>《广东省政府投资基金管理实施办法（试行）》（粤财预〔2016〕178号）</w:t>
      </w:r>
      <w:r>
        <w:rPr>
          <w:rFonts w:hint="eastAsia" w:ascii="Times New Roman" w:hAnsi="Times New Roman" w:eastAsia="仿宋_GB2312" w:cs="Times New Roman"/>
          <w:color w:val="000000"/>
          <w:sz w:val="32"/>
          <w:szCs w:val="28"/>
          <w:lang w:eastAsia="zh-CN"/>
        </w:rPr>
        <w:t>、</w:t>
      </w:r>
      <w:r>
        <w:rPr>
          <w:rFonts w:ascii="Times New Roman" w:hAnsi="Times New Roman" w:eastAsia="仿宋_GB2312" w:cs="Times New Roman"/>
          <w:color w:val="000000"/>
          <w:sz w:val="32"/>
          <w:szCs w:val="28"/>
        </w:rPr>
        <w:t>《广州市政府投资基金管理办法》（</w:t>
      </w:r>
      <w:r>
        <w:rPr>
          <w:rFonts w:hint="eastAsia" w:ascii="Times New Roman" w:hAnsi="Times New Roman" w:eastAsia="仿宋_GB2312" w:cs="Times New Roman"/>
          <w:color w:val="000000"/>
          <w:sz w:val="32"/>
          <w:szCs w:val="28"/>
          <w:lang w:eastAsia="zh-CN"/>
        </w:rPr>
        <w:t>穗</w:t>
      </w:r>
      <w:r>
        <w:rPr>
          <w:rFonts w:ascii="Times New Roman" w:hAnsi="Times New Roman" w:eastAsia="仿宋_GB2312" w:cs="Times New Roman"/>
          <w:color w:val="000000"/>
          <w:sz w:val="32"/>
          <w:szCs w:val="28"/>
        </w:rPr>
        <w:t>财规字〔2020〕2号）。</w:t>
      </w:r>
    </w:p>
    <w:p>
      <w:pPr>
        <w:spacing w:line="560" w:lineRule="exact"/>
        <w:ind w:firstLine="640" w:firstLineChars="200"/>
        <w:jc w:val="left"/>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rPr>
        <w:t>三、</w:t>
      </w:r>
      <w:r>
        <w:rPr>
          <w:rFonts w:hint="eastAsia" w:ascii="黑体" w:hAnsi="黑体" w:eastAsia="黑体" w:cs="黑体"/>
          <w:b w:val="0"/>
          <w:bCs w:val="0"/>
          <w:sz w:val="32"/>
          <w:szCs w:val="32"/>
          <w:lang w:eastAsia="zh-CN"/>
        </w:rPr>
        <w:t>主要修订内容</w:t>
      </w:r>
    </w:p>
    <w:p>
      <w:pPr>
        <w:spacing w:line="560" w:lineRule="exac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highlight w:val="none"/>
          <w:lang w:eastAsia="zh-CN"/>
        </w:rPr>
        <w:t>前期，经过调研论证、部门征求意见、市场监管部门公平竞争审查、委内合法性审查、廉洁性评估等规定流程，形成了目前的《广州市新兴产业发展引导基金管理办法》。办法共十章三十九条，第一章总则主要对制定依据、基础规模等作了补充修订；第二章受托管理机构主要对遴选条件、职责等作了补充修订；第三章投资领域主要子基金投向、返投比例等进行了修订调整；第四章申报机构主要对申报条件、管理人条件等进行了修订调整；第五章审批程序主要是</w:t>
      </w:r>
      <w:r>
        <w:rPr>
          <w:rFonts w:hint="eastAsia" w:ascii="Times New Roman" w:hAnsi="Times New Roman" w:eastAsia="仿宋_GB2312" w:cs="Times New Roman"/>
          <w:sz w:val="32"/>
          <w:szCs w:val="32"/>
          <w:highlight w:val="none"/>
          <w:lang w:val="en-US" w:eastAsia="zh-CN"/>
        </w:rPr>
        <w:t>进一步明确职责、优化流程、规范表述；第六章投资管理主要对出资比例、出资时限等</w:t>
      </w:r>
      <w:r>
        <w:rPr>
          <w:rFonts w:hint="eastAsia" w:ascii="Times New Roman" w:hAnsi="Times New Roman" w:eastAsia="仿宋_GB2312" w:cs="Times New Roman"/>
          <w:sz w:val="32"/>
          <w:szCs w:val="32"/>
          <w:highlight w:val="none"/>
          <w:lang w:eastAsia="zh-CN"/>
        </w:rPr>
        <w:t>进行了修订调整；第七章退出机制主要是进一步细化完善退出机制；第八章激励约束机制主要对考核评价、激励奖励等进行了修订调整；第九章监督检查主要是完善监督检查内容、建立</w:t>
      </w:r>
      <w:r>
        <w:rPr>
          <w:rFonts w:hint="eastAsia" w:ascii="Times New Roman" w:hAnsi="Times New Roman" w:eastAsia="仿宋_GB2312" w:cs="Times New Roman"/>
          <w:color w:val="000000"/>
          <w:kern w:val="2"/>
          <w:sz w:val="32"/>
          <w:szCs w:val="28"/>
          <w:highlight w:val="none"/>
          <w:lang w:val="en"/>
        </w:rPr>
        <w:t>容错免责机制</w:t>
      </w:r>
      <w:r>
        <w:rPr>
          <w:rFonts w:hint="eastAsia" w:ascii="Times New Roman" w:hAnsi="Times New Roman" w:eastAsia="仿宋_GB2312" w:cs="Times New Roman"/>
          <w:color w:val="000000"/>
          <w:kern w:val="2"/>
          <w:sz w:val="32"/>
          <w:szCs w:val="28"/>
          <w:highlight w:val="none"/>
          <w:lang w:val="en" w:eastAsia="zh-CN"/>
        </w:rPr>
        <w:t>；第十章附则主要是增加了参股</w:t>
      </w:r>
      <w:r>
        <w:rPr>
          <w:rFonts w:hint="eastAsia" w:ascii="Times New Roman" w:hAnsi="Times New Roman" w:eastAsia="仿宋_GB2312" w:cs="Times New Roman"/>
          <w:color w:val="000000"/>
          <w:sz w:val="32"/>
          <w:szCs w:val="28"/>
          <w:highlight w:val="none"/>
          <w:lang w:eastAsia="zh-CN"/>
        </w:rPr>
        <w:t>国家级和省级政府投资基金的</w:t>
      </w:r>
      <w:r>
        <w:rPr>
          <w:rFonts w:hint="eastAsia" w:ascii="Times New Roman" w:hAnsi="Times New Roman" w:eastAsia="仿宋_GB2312" w:cs="Times New Roman"/>
          <w:color w:val="000000"/>
          <w:kern w:val="2"/>
          <w:sz w:val="32"/>
          <w:szCs w:val="28"/>
          <w:highlight w:val="none"/>
          <w:lang w:val="en" w:eastAsia="zh-CN"/>
        </w:rPr>
        <w:t>的考核内容。同时，附件《广州市新兴产业发展引导基金及参股国家和省级基金受托管理机构年度考核评价表》根据前期运行经验分级细化了评分标准，优化完善了指标构成，增加了资金利用率、投资进度、其他参股基金的考核指标。</w:t>
      </w:r>
    </w:p>
    <w:sectPr>
      <w:footerReference r:id="rId3" w:type="default"/>
      <w:pgSz w:w="11906" w:h="16838"/>
      <w:pgMar w:top="1440" w:right="1701" w:bottom="1440"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00"/>
    <w:family w:val="auto"/>
    <w:pitch w:val="default"/>
    <w:sig w:usb0="00000000" w:usb1="0000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等线">
    <w:altName w:val="汉仪仿宋S"/>
    <w:panose1 w:val="00000000000000000000"/>
    <w:charset w:val="86"/>
    <w:family w:val="auto"/>
    <w:pitch w:val="default"/>
    <w:sig w:usb0="00000000" w:usb1="00000000" w:usb2="00000000" w:usb3="00000000" w:csb0="00000000" w:csb1="00000000"/>
  </w:font>
  <w:font w:name="等线">
    <w:altName w:val="URW Bookman"/>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URW Bookman">
    <w:panose1 w:val="00000400000000000000"/>
    <w:charset w:val="00"/>
    <w:family w:val="auto"/>
    <w:pitch w:val="default"/>
    <w:sig w:usb0="00000287" w:usb1="00000800" w:usb2="00000000" w:usb3="00000000" w:csb0="6000009F" w:csb1="00000000"/>
  </w:font>
  <w:font w:name="方正楷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DejaVu Sans">
    <w:panose1 w:val="020B0603030804020204"/>
    <w:charset w:val="00"/>
    <w:family w:val="auto"/>
    <w:pitch w:val="default"/>
    <w:sig w:usb0="E7006EFF" w:usb1="D200FDFF" w:usb2="0A246029" w:usb3="0400200C" w:csb0="600001FF" w:csb1="DFFF0000"/>
  </w:font>
  <w:font w:name="华文仿宋">
    <w:panose1 w:val="02010600040101010101"/>
    <w:charset w:val="86"/>
    <w:family w:val="auto"/>
    <w:pitch w:val="default"/>
    <w:sig w:usb0="00000287" w:usb1="080F0000" w:usb2="00000000" w:usb3="00000000" w:csb0="0004009F" w:csb1="DFD70000"/>
  </w:font>
  <w:font w:name="汉仪仿宋S">
    <w:panose1 w:val="00020600040101000101"/>
    <w:charset w:val="86"/>
    <w:family w:val="auto"/>
    <w:pitch w:val="default"/>
    <w:sig w:usb0="A00002BF" w:usb1="38CF7CFA"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409"/>
    <w:rsid w:val="00077433"/>
    <w:rsid w:val="00094DC1"/>
    <w:rsid w:val="000D5409"/>
    <w:rsid w:val="000D7D5C"/>
    <w:rsid w:val="00134BE9"/>
    <w:rsid w:val="00153429"/>
    <w:rsid w:val="0015658A"/>
    <w:rsid w:val="0016359B"/>
    <w:rsid w:val="001C5818"/>
    <w:rsid w:val="001D55DD"/>
    <w:rsid w:val="001F0260"/>
    <w:rsid w:val="001F0670"/>
    <w:rsid w:val="002000B1"/>
    <w:rsid w:val="00201E1D"/>
    <w:rsid w:val="00206C4B"/>
    <w:rsid w:val="00233C74"/>
    <w:rsid w:val="002432AF"/>
    <w:rsid w:val="00256737"/>
    <w:rsid w:val="002B71EB"/>
    <w:rsid w:val="002F3797"/>
    <w:rsid w:val="002F4045"/>
    <w:rsid w:val="00325C2F"/>
    <w:rsid w:val="00335A97"/>
    <w:rsid w:val="003362BB"/>
    <w:rsid w:val="00370B33"/>
    <w:rsid w:val="003939BE"/>
    <w:rsid w:val="003B15E7"/>
    <w:rsid w:val="003F7891"/>
    <w:rsid w:val="00414C52"/>
    <w:rsid w:val="00424488"/>
    <w:rsid w:val="00436DB8"/>
    <w:rsid w:val="004424B7"/>
    <w:rsid w:val="0048210E"/>
    <w:rsid w:val="004C5C6F"/>
    <w:rsid w:val="004E0591"/>
    <w:rsid w:val="00503765"/>
    <w:rsid w:val="0050703C"/>
    <w:rsid w:val="00536378"/>
    <w:rsid w:val="005A3685"/>
    <w:rsid w:val="005C126A"/>
    <w:rsid w:val="005D2C56"/>
    <w:rsid w:val="005F3B9F"/>
    <w:rsid w:val="006A7A53"/>
    <w:rsid w:val="006B28DA"/>
    <w:rsid w:val="006B79DC"/>
    <w:rsid w:val="006E0F43"/>
    <w:rsid w:val="00702B1C"/>
    <w:rsid w:val="007E37B8"/>
    <w:rsid w:val="007E3EE6"/>
    <w:rsid w:val="007F118A"/>
    <w:rsid w:val="0089307A"/>
    <w:rsid w:val="00895313"/>
    <w:rsid w:val="0089787E"/>
    <w:rsid w:val="008C0C6C"/>
    <w:rsid w:val="008C574F"/>
    <w:rsid w:val="008D7E47"/>
    <w:rsid w:val="008E3173"/>
    <w:rsid w:val="0090518C"/>
    <w:rsid w:val="009316AD"/>
    <w:rsid w:val="00931B11"/>
    <w:rsid w:val="00932DA6"/>
    <w:rsid w:val="00967E4B"/>
    <w:rsid w:val="009860B0"/>
    <w:rsid w:val="009A6404"/>
    <w:rsid w:val="009A7A79"/>
    <w:rsid w:val="009C1D02"/>
    <w:rsid w:val="009E22CA"/>
    <w:rsid w:val="00A03955"/>
    <w:rsid w:val="00A1227C"/>
    <w:rsid w:val="00A21E22"/>
    <w:rsid w:val="00A25026"/>
    <w:rsid w:val="00A34572"/>
    <w:rsid w:val="00A45BE9"/>
    <w:rsid w:val="00A46300"/>
    <w:rsid w:val="00A9789C"/>
    <w:rsid w:val="00AB1C42"/>
    <w:rsid w:val="00AD3C60"/>
    <w:rsid w:val="00B06178"/>
    <w:rsid w:val="00B15836"/>
    <w:rsid w:val="00B52DF6"/>
    <w:rsid w:val="00B65620"/>
    <w:rsid w:val="00B82E21"/>
    <w:rsid w:val="00B85824"/>
    <w:rsid w:val="00B86292"/>
    <w:rsid w:val="00B87EFB"/>
    <w:rsid w:val="00BA7E04"/>
    <w:rsid w:val="00BE3D45"/>
    <w:rsid w:val="00BF3FDC"/>
    <w:rsid w:val="00C11D6F"/>
    <w:rsid w:val="00C3597D"/>
    <w:rsid w:val="00C765C7"/>
    <w:rsid w:val="00CA1A02"/>
    <w:rsid w:val="00CA366C"/>
    <w:rsid w:val="00CB07B9"/>
    <w:rsid w:val="00CB43B5"/>
    <w:rsid w:val="00CB7AD0"/>
    <w:rsid w:val="00CF145D"/>
    <w:rsid w:val="00D62AA4"/>
    <w:rsid w:val="00D84D52"/>
    <w:rsid w:val="00D86D3F"/>
    <w:rsid w:val="00DA5ED0"/>
    <w:rsid w:val="00DB21B3"/>
    <w:rsid w:val="00E22156"/>
    <w:rsid w:val="00E45437"/>
    <w:rsid w:val="00E530FE"/>
    <w:rsid w:val="00E54AB1"/>
    <w:rsid w:val="00E667DE"/>
    <w:rsid w:val="00E7422F"/>
    <w:rsid w:val="00E82AF7"/>
    <w:rsid w:val="00EC7E4E"/>
    <w:rsid w:val="00EE2F57"/>
    <w:rsid w:val="00EF02FD"/>
    <w:rsid w:val="00F51E71"/>
    <w:rsid w:val="00F629C8"/>
    <w:rsid w:val="00F6563C"/>
    <w:rsid w:val="00F86B5C"/>
    <w:rsid w:val="00FE07C3"/>
    <w:rsid w:val="00FE4319"/>
    <w:rsid w:val="04F9F606"/>
    <w:rsid w:val="0A77A778"/>
    <w:rsid w:val="1D52933E"/>
    <w:rsid w:val="1DFFEA48"/>
    <w:rsid w:val="1EFF61D1"/>
    <w:rsid w:val="1FF7E9DC"/>
    <w:rsid w:val="23D30225"/>
    <w:rsid w:val="23D9BA41"/>
    <w:rsid w:val="2FBE1BE6"/>
    <w:rsid w:val="3DDF8912"/>
    <w:rsid w:val="3EDBD2BD"/>
    <w:rsid w:val="3EEB4141"/>
    <w:rsid w:val="3F6BB15E"/>
    <w:rsid w:val="3FE73D2F"/>
    <w:rsid w:val="3FF56BE6"/>
    <w:rsid w:val="3FFE11CC"/>
    <w:rsid w:val="4DBC15BB"/>
    <w:rsid w:val="521FA455"/>
    <w:rsid w:val="527E1045"/>
    <w:rsid w:val="57EDCADF"/>
    <w:rsid w:val="57F59340"/>
    <w:rsid w:val="5877B1D6"/>
    <w:rsid w:val="587AEB94"/>
    <w:rsid w:val="5D7FA4A9"/>
    <w:rsid w:val="5EFF1A70"/>
    <w:rsid w:val="5FBE70E3"/>
    <w:rsid w:val="6EBF1701"/>
    <w:rsid w:val="6FED6145"/>
    <w:rsid w:val="6FF9DE3E"/>
    <w:rsid w:val="731761C5"/>
    <w:rsid w:val="777652B9"/>
    <w:rsid w:val="779D7B73"/>
    <w:rsid w:val="79DB5E71"/>
    <w:rsid w:val="79EFC62F"/>
    <w:rsid w:val="7B7EF984"/>
    <w:rsid w:val="7DEF7350"/>
    <w:rsid w:val="7ED36B83"/>
    <w:rsid w:val="7EF3CE89"/>
    <w:rsid w:val="7F0F3575"/>
    <w:rsid w:val="7F7AB8EC"/>
    <w:rsid w:val="7F7F9FB7"/>
    <w:rsid w:val="7F8F44CD"/>
    <w:rsid w:val="7F9F8FA6"/>
    <w:rsid w:val="7FB6920F"/>
    <w:rsid w:val="7FE35FAE"/>
    <w:rsid w:val="7FE73875"/>
    <w:rsid w:val="7FEFA2DC"/>
    <w:rsid w:val="7FF7AA17"/>
    <w:rsid w:val="7FFF5DD2"/>
    <w:rsid w:val="7FFFF9FC"/>
    <w:rsid w:val="894F0FDD"/>
    <w:rsid w:val="98BB9A75"/>
    <w:rsid w:val="9DFBA054"/>
    <w:rsid w:val="A396689C"/>
    <w:rsid w:val="AFF7B465"/>
    <w:rsid w:val="B3FFECB0"/>
    <w:rsid w:val="B7E7967E"/>
    <w:rsid w:val="BADDB7DA"/>
    <w:rsid w:val="BE5E113E"/>
    <w:rsid w:val="BE710124"/>
    <w:rsid w:val="BF3E3610"/>
    <w:rsid w:val="BFB9DE22"/>
    <w:rsid w:val="BFB9FC81"/>
    <w:rsid w:val="BFF900B3"/>
    <w:rsid w:val="CD6D5212"/>
    <w:rsid w:val="CED83D75"/>
    <w:rsid w:val="CFF37AEF"/>
    <w:rsid w:val="D3FFE3CA"/>
    <w:rsid w:val="D8FF7FDB"/>
    <w:rsid w:val="DDEB1773"/>
    <w:rsid w:val="DF6FA844"/>
    <w:rsid w:val="E9DF917F"/>
    <w:rsid w:val="E9FFF43A"/>
    <w:rsid w:val="F17BFD7E"/>
    <w:rsid w:val="F3FFE253"/>
    <w:rsid w:val="F5315A22"/>
    <w:rsid w:val="F6FB0CC1"/>
    <w:rsid w:val="F79E5789"/>
    <w:rsid w:val="FAF7F0A5"/>
    <w:rsid w:val="FB37B750"/>
    <w:rsid w:val="FD0F5A5E"/>
    <w:rsid w:val="FD3D6ED4"/>
    <w:rsid w:val="FDE56EBA"/>
    <w:rsid w:val="FE7D9676"/>
    <w:rsid w:val="FEFA2C2B"/>
    <w:rsid w:val="FEFE8CA5"/>
    <w:rsid w:val="FFDF21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semiHidden/>
    <w:unhideWhenUsed/>
    <w:qFormat/>
    <w:uiPriority w:val="99"/>
    <w:pPr>
      <w:jc w:val="left"/>
    </w:p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6">
    <w:name w:val="annotation subject"/>
    <w:basedOn w:val="2"/>
    <w:next w:val="2"/>
    <w:link w:val="16"/>
    <w:semiHidden/>
    <w:unhideWhenUsed/>
    <w:qFormat/>
    <w:uiPriority w:val="99"/>
    <w:rPr>
      <w:b/>
      <w:bCs/>
    </w:rPr>
  </w:style>
  <w:style w:type="character" w:styleId="9">
    <w:name w:val="Strong"/>
    <w:basedOn w:val="8"/>
    <w:qFormat/>
    <w:uiPriority w:val="22"/>
    <w:rPr>
      <w:b/>
      <w:bCs/>
    </w:rPr>
  </w:style>
  <w:style w:type="character" w:styleId="10">
    <w:name w:val="annotation reference"/>
    <w:basedOn w:val="8"/>
    <w:semiHidden/>
    <w:unhideWhenUsed/>
    <w:qFormat/>
    <w:uiPriority w:val="99"/>
    <w:rPr>
      <w:sz w:val="21"/>
      <w:szCs w:val="21"/>
    </w:rPr>
  </w:style>
  <w:style w:type="character" w:customStyle="1" w:styleId="11">
    <w:name w:val="页眉 字符"/>
    <w:basedOn w:val="8"/>
    <w:link w:val="4"/>
    <w:qFormat/>
    <w:uiPriority w:val="99"/>
    <w:rPr>
      <w:sz w:val="18"/>
      <w:szCs w:val="18"/>
    </w:rPr>
  </w:style>
  <w:style w:type="character" w:customStyle="1" w:styleId="12">
    <w:name w:val="页脚 字符"/>
    <w:basedOn w:val="8"/>
    <w:link w:val="3"/>
    <w:qFormat/>
    <w:uiPriority w:val="99"/>
    <w:rPr>
      <w:sz w:val="18"/>
      <w:szCs w:val="18"/>
    </w:rPr>
  </w:style>
  <w:style w:type="paragraph" w:customStyle="1" w:styleId="13">
    <w:name w:val="Revision"/>
    <w:hidden/>
    <w:semiHidden/>
    <w:qFormat/>
    <w:uiPriority w:val="99"/>
    <w:rPr>
      <w:rFonts w:asciiTheme="minorHAnsi" w:hAnsiTheme="minorHAnsi" w:eastAsiaTheme="minorEastAsia" w:cstheme="minorBidi"/>
      <w:kern w:val="2"/>
      <w:sz w:val="21"/>
      <w:szCs w:val="22"/>
      <w:lang w:val="en-US" w:eastAsia="zh-CN" w:bidi="ar-SA"/>
    </w:rPr>
  </w:style>
  <w:style w:type="character" w:customStyle="1" w:styleId="14">
    <w:name w:val="bjh-p"/>
    <w:basedOn w:val="8"/>
    <w:qFormat/>
    <w:uiPriority w:val="0"/>
  </w:style>
  <w:style w:type="character" w:customStyle="1" w:styleId="15">
    <w:name w:val="批注文字 字符"/>
    <w:basedOn w:val="8"/>
    <w:link w:val="2"/>
    <w:semiHidden/>
    <w:qFormat/>
    <w:uiPriority w:val="99"/>
  </w:style>
  <w:style w:type="character" w:customStyle="1" w:styleId="16">
    <w:name w:val="批注主题 字符"/>
    <w:basedOn w:val="15"/>
    <w:link w:val="6"/>
    <w:semiHidden/>
    <w:qFormat/>
    <w:uiPriority w:val="99"/>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1064</Words>
  <Characters>6071</Characters>
  <Lines>50</Lines>
  <Paragraphs>14</Paragraphs>
  <TotalTime>9</TotalTime>
  <ScaleCrop>false</ScaleCrop>
  <LinksUpToDate>false</LinksUpToDate>
  <CharactersWithSpaces>7121</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2022-07-25T22:46:00Z</dcterms:created>
  <dc:creator>xiaoyun wang</dc:creator>
  <cp:lastModifiedBy>wuy</cp:lastModifiedBy>
  <dcterms:modified xsi:type="dcterms:W3CDTF">2022-09-06T15:40:57Z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ies>
</file>