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60" w:lineRule="exact"/>
        <w:jc w:val="left"/>
        <w:textAlignment w:val="auto"/>
        <w:outlineLvl w:val="0"/>
        <w:rPr>
          <w:rFonts w:hint="default" w:ascii="方正黑体_GBK" w:hAnsi="方正黑体_GBK" w:eastAsia="方正黑体_GBK" w:cs="方正黑体_GBK"/>
          <w:b w:val="0"/>
          <w:bCs/>
          <w:sz w:val="32"/>
          <w:szCs w:val="32"/>
          <w:lang w:val="en" w:eastAsia="zh-CN"/>
        </w:rPr>
      </w:pPr>
      <w:bookmarkStart w:id="3" w:name="_GoBack"/>
      <w:bookmarkEnd w:id="3"/>
      <w:bookmarkStart w:id="0" w:name="_Toc177221824"/>
      <w:bookmarkStart w:id="1" w:name="_Toc265844202"/>
      <w:bookmarkStart w:id="2" w:name="_Toc265528185"/>
      <w:r>
        <w:rPr>
          <w:rFonts w:hint="eastAsia" w:ascii="方正黑体_GBK" w:hAnsi="方正黑体_GBK" w:eastAsia="方正黑体_GBK" w:cs="方正黑体_GBK"/>
          <w:b w:val="0"/>
          <w:bCs/>
          <w:sz w:val="32"/>
          <w:szCs w:val="32"/>
          <w:lang w:eastAsia="zh-CN"/>
        </w:rPr>
        <w:t>附件</w:t>
      </w:r>
      <w:r>
        <w:rPr>
          <w:rFonts w:hint="default" w:ascii="方正黑体_GBK" w:hAnsi="方正黑体_GBK" w:eastAsia="方正黑体_GBK" w:cs="方正黑体_GBK"/>
          <w:b w:val="0"/>
          <w:bCs/>
          <w:sz w:val="32"/>
          <w:szCs w:val="32"/>
          <w:lang w:val="en" w:eastAsia="zh-CN"/>
        </w:rPr>
        <w:t>2</w:t>
      </w:r>
    </w:p>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Times New Roman" w:hAnsi="Times New Roman" w:eastAsia="仿宋_GB2312" w:cs="Times New Roman"/>
          <w:b/>
          <w:color w:val="000000" w:themeColor="text1"/>
          <w:sz w:val="48"/>
          <w:szCs w:val="48"/>
          <w14:textFill>
            <w14:solidFill>
              <w14:schemeClr w14:val="tx1"/>
            </w14:solidFill>
          </w14:textFill>
        </w:rPr>
      </w:pPr>
    </w:p>
    <w:p>
      <w:pPr>
        <w:keepNext w:val="0"/>
        <w:keepLines w:val="0"/>
        <w:pageBreakBefore w:val="0"/>
        <w:widowControl w:val="0"/>
        <w:kinsoku/>
        <w:wordWrap/>
        <w:overflowPunct/>
        <w:topLinePunct w:val="0"/>
        <w:autoSpaceDE/>
        <w:autoSpaceDN/>
        <w:bidi w:val="0"/>
        <w:spacing w:line="560" w:lineRule="exact"/>
        <w:jc w:val="center"/>
        <w:textAlignment w:val="auto"/>
        <w:rPr>
          <w:rFonts w:hint="default" w:ascii="Times New Roman" w:hAnsi="Times New Roman" w:eastAsia="仿宋_GB2312" w:cs="Times New Roman"/>
          <w:b/>
          <w:color w:val="000000" w:themeColor="text1"/>
          <w:sz w:val="48"/>
          <w:szCs w:val="48"/>
          <w14:textFill>
            <w14:solidFill>
              <w14:schemeClr w14:val="tx1"/>
            </w14:solidFill>
          </w14:textFill>
        </w:rPr>
      </w:pPr>
      <w:r>
        <w:rPr>
          <w:rFonts w:hint="eastAsia" w:ascii="方正小标宋简体" w:hAnsi="方正小标宋简体" w:eastAsia="方正小标宋简体" w:cs="方正小标宋简体"/>
          <w:b w:val="0"/>
          <w:bCs/>
          <w:color w:val="000000" w:themeColor="text1"/>
          <w:sz w:val="48"/>
          <w:szCs w:val="48"/>
          <w14:textFill>
            <w14:solidFill>
              <w14:schemeClr w14:val="tx1"/>
            </w14:solidFill>
          </w14:textFill>
        </w:rPr>
        <w:t>起草说明</w:t>
      </w:r>
      <w:bookmarkEnd w:id="0"/>
    </w:p>
    <w:p>
      <w:pPr>
        <w:keepNext w:val="0"/>
        <w:keepLines w:val="0"/>
        <w:pageBreakBefore w:val="0"/>
        <w:widowControl w:val="0"/>
        <w:kinsoku/>
        <w:wordWrap/>
        <w:overflowPunct/>
        <w:topLinePunct w:val="0"/>
        <w:autoSpaceDE/>
        <w:autoSpaceDN/>
        <w:bidi w:val="0"/>
        <w:spacing w:line="560" w:lineRule="exact"/>
        <w:textAlignment w:val="auto"/>
        <w:rPr>
          <w:rFonts w:hint="default" w:ascii="Times New Roman" w:hAnsi="Times New Roman" w:eastAsia="仿宋_GB2312" w:cs="Times New Roman"/>
          <w:b/>
          <w:color w:val="000000" w:themeColor="text1"/>
          <w:sz w:val="48"/>
          <w:szCs w:val="48"/>
          <w14:textFill>
            <w14:solidFill>
              <w14:schemeClr w14:val="tx1"/>
            </w14:solidFill>
          </w14:textFill>
        </w:rPr>
      </w:pPr>
    </w:p>
    <w:bookmarkEnd w:id="1"/>
    <w:bookmarkEnd w:id="2"/>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一、制定文件必要性</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楷体_GB2312" w:hAnsi="楷体_GB2312" w:eastAsia="楷体_GB2312" w:cs="楷体_GB2312"/>
          <w:sz w:val="32"/>
          <w:szCs w:val="32"/>
          <w:lang w:eastAsia="zh-CN"/>
        </w:rPr>
        <w:t>（一）落实价格管理工作要求的需要。</w:t>
      </w:r>
      <w:r>
        <w:rPr>
          <w:rFonts w:hint="default" w:ascii="Times New Roman" w:hAnsi="Times New Roman" w:eastAsia="仿宋_GB2312" w:cs="Times New Roman"/>
          <w:color w:val="000000" w:themeColor="text1"/>
          <w:sz w:val="32"/>
          <w:szCs w:val="32"/>
          <w14:textFill>
            <w14:solidFill>
              <w14:schemeClr w14:val="tx1"/>
            </w14:solidFill>
          </w14:textFill>
        </w:rPr>
        <w:t>《有线电视基本收视维护费管理暂行办法》</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要求</w:t>
      </w:r>
      <w:r>
        <w:rPr>
          <w:rFonts w:hint="default" w:ascii="Times New Roman" w:hAnsi="Times New Roman" w:eastAsia="仿宋_GB2312" w:cs="Times New Roman"/>
          <w:color w:val="000000" w:themeColor="text1"/>
          <w:sz w:val="32"/>
          <w:szCs w:val="32"/>
          <w14:textFill>
            <w14:solidFill>
              <w14:schemeClr w14:val="tx1"/>
            </w14:solidFill>
          </w14:textFill>
        </w:rPr>
        <w:t>有线电视基本收视维护费实行政府定价</w:t>
      </w:r>
      <w:r>
        <w:rPr>
          <w:rFonts w:hint="eastAsia"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rPr>
        <w:t>《广东省定价目录（2022年版）》</w:t>
      </w:r>
      <w:r>
        <w:rPr>
          <w:rFonts w:hint="eastAsia" w:ascii="Times New Roman" w:hAnsi="Times New Roman" w:eastAsia="仿宋_GB2312" w:cs="Times New Roman"/>
          <w:sz w:val="32"/>
          <w:szCs w:val="32"/>
          <w:lang w:eastAsia="zh-CN"/>
        </w:rPr>
        <w:t>明确将“有线数字电视基本收视维护费”纳入目录，实行政府定价</w:t>
      </w:r>
      <w:r>
        <w:rPr>
          <w:rFonts w:hint="eastAsia"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eastAsia" w:ascii="楷体_GB2312" w:hAnsi="楷体_GB2312" w:eastAsia="楷体_GB2312" w:cs="楷体_GB2312"/>
          <w:sz w:val="32"/>
          <w:szCs w:val="32"/>
          <w:lang w:val="en-US" w:eastAsia="zh-CN"/>
        </w:rPr>
      </w:pPr>
      <w:r>
        <w:rPr>
          <w:rFonts w:hint="eastAsia" w:ascii="楷体_GB2312" w:hAnsi="楷体_GB2312" w:eastAsia="楷体_GB2312" w:cs="楷体_GB2312"/>
          <w:sz w:val="32"/>
          <w:szCs w:val="32"/>
          <w:lang w:val="en-US" w:eastAsia="zh-CN"/>
        </w:rPr>
        <w:t>（二）贯彻有线数字电视最新政策的举措。近年来，国家将</w:t>
      </w:r>
      <w:r>
        <w:rPr>
          <w:rFonts w:hint="default" w:ascii="Times New Roman" w:hAnsi="Times New Roman" w:eastAsia="仿宋_GB2312" w:cs="Times New Roman"/>
          <w:sz w:val="32"/>
          <w:szCs w:val="32"/>
        </w:rPr>
        <w:t>装机服务</w:t>
      </w:r>
      <w:r>
        <w:rPr>
          <w:rFonts w:hint="eastAsia" w:ascii="Times New Roman" w:hAnsi="Times New Roman" w:eastAsia="仿宋_GB2312" w:cs="Times New Roman"/>
          <w:sz w:val="32"/>
          <w:szCs w:val="32"/>
          <w:lang w:eastAsia="zh-CN"/>
        </w:rPr>
        <w:t>费</w:t>
      </w:r>
      <w:r>
        <w:rPr>
          <w:rFonts w:hint="default" w:ascii="Times New Roman" w:hAnsi="Times New Roman" w:eastAsia="仿宋_GB2312" w:cs="Times New Roman"/>
          <w:sz w:val="32"/>
          <w:szCs w:val="32"/>
        </w:rPr>
        <w:t>、机顶盒</w:t>
      </w:r>
      <w:r>
        <w:rPr>
          <w:rFonts w:hint="eastAsia" w:ascii="Times New Roman" w:hAnsi="Times New Roman" w:eastAsia="仿宋_GB2312" w:cs="Times New Roman"/>
          <w:sz w:val="32"/>
          <w:szCs w:val="32"/>
          <w:lang w:eastAsia="zh-CN"/>
        </w:rPr>
        <w:t>销售价格等收费项目由政府定价或政府指导价调整为市场调节价，同时，有线数字电视减免政策享受对象也发生了较大变化，我市需通过修订相关文件及时贯彻落实上述政策要求。</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楷体_GB2312" w:hAnsi="楷体_GB2312" w:eastAsia="楷体_GB2312" w:cs="楷体_GB2312"/>
          <w:sz w:val="32"/>
          <w:szCs w:val="32"/>
          <w:lang w:val="en-US" w:eastAsia="zh-CN"/>
        </w:rPr>
        <w:t>（三）加强行政规范性文件管理的需要。</w:t>
      </w:r>
      <w:r>
        <w:rPr>
          <w:rFonts w:hint="default" w:ascii="Times New Roman" w:hAnsi="Times New Roman" w:eastAsia="仿宋_GB2312" w:cs="Times New Roman"/>
          <w:color w:val="000000" w:themeColor="text1"/>
          <w:sz w:val="32"/>
          <w:szCs w:val="32"/>
          <w14:textFill>
            <w14:solidFill>
              <w14:schemeClr w14:val="tx1"/>
            </w14:solidFill>
          </w14:textFill>
        </w:rPr>
        <w:t>《广州市发展改革委</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广州市文化广电旅游局关于加强我市有线数字电视服务收费管理的通知》（穗发改规字</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2020</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2号）</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将于</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2025年4月到期</w:t>
      </w:r>
      <w:r>
        <w:rPr>
          <w:rFonts w:hint="default" w:ascii="Times New Roman" w:hAnsi="Times New Roman" w:eastAsia="仿宋_GB2312" w:cs="Times New Roman"/>
          <w:color w:val="000000" w:themeColor="text1"/>
          <w:sz w:val="32"/>
          <w:szCs w:val="32"/>
          <w14:textFill>
            <w14:solidFill>
              <w14:schemeClr w14:val="tx1"/>
            </w14:solidFill>
          </w14:textFill>
        </w:rPr>
        <w:t>，需</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按照行政规范性文件管理的有关要求</w:t>
      </w:r>
      <w:r>
        <w:rPr>
          <w:rFonts w:hint="default" w:ascii="Times New Roman" w:hAnsi="Times New Roman" w:eastAsia="仿宋_GB2312" w:cs="Times New Roman"/>
          <w:color w:val="000000" w:themeColor="text1"/>
          <w:sz w:val="32"/>
          <w:szCs w:val="32"/>
          <w14:textFill>
            <w14:solidFill>
              <w14:schemeClr w14:val="tx1"/>
            </w14:solidFill>
          </w14:textFill>
        </w:rPr>
        <w:t>进行修订完善。</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二、</w:t>
      </w:r>
      <w:r>
        <w:rPr>
          <w:rFonts w:hint="eastAsia" w:ascii="Times New Roman" w:hAnsi="Times New Roman" w:eastAsia="黑体" w:cs="Times New Roman"/>
          <w:b w:val="0"/>
          <w:bCs/>
          <w:color w:val="000000" w:themeColor="text1"/>
          <w:sz w:val="32"/>
          <w:szCs w:val="32"/>
          <w:lang w:eastAsia="zh-CN"/>
          <w14:textFill>
            <w14:solidFill>
              <w14:schemeClr w14:val="tx1"/>
            </w14:solidFill>
          </w14:textFill>
        </w:rPr>
        <w:t>文件</w:t>
      </w:r>
      <w:r>
        <w:rPr>
          <w:rFonts w:hint="default" w:ascii="Times New Roman" w:hAnsi="Times New Roman" w:eastAsia="黑体" w:cs="Times New Roman"/>
          <w:b w:val="0"/>
          <w:bCs/>
          <w:color w:val="000000" w:themeColor="text1"/>
          <w:sz w:val="32"/>
          <w:szCs w:val="32"/>
          <w14:textFill>
            <w14:solidFill>
              <w14:schemeClr w14:val="tx1"/>
            </w14:solidFill>
          </w14:textFill>
        </w:rPr>
        <w:t>可行性</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default" w:ascii="Times New Roman" w:hAnsi="Times New Roman" w:eastAsia="仿宋_GB2312" w:cs="Times New Roman"/>
          <w:color w:val="000000" w:themeColor="text1"/>
          <w:sz w:val="32"/>
          <w:szCs w:val="32"/>
          <w14:textFill>
            <w14:solidFill>
              <w14:schemeClr w14:val="tx1"/>
            </w14:solidFill>
          </w14:textFill>
        </w:rPr>
        <w:t>《广州市发展改革委</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 xml:space="preserve"> </w:t>
      </w:r>
      <w:r>
        <w:rPr>
          <w:rFonts w:hint="default" w:ascii="Times New Roman" w:hAnsi="Times New Roman" w:eastAsia="仿宋_GB2312" w:cs="Times New Roman"/>
          <w:color w:val="000000" w:themeColor="text1"/>
          <w:sz w:val="32"/>
          <w:szCs w:val="32"/>
          <w14:textFill>
            <w14:solidFill>
              <w14:schemeClr w14:val="tx1"/>
            </w14:solidFill>
          </w14:textFill>
        </w:rPr>
        <w:t>广州市文化广电旅游局关于加强我市有线数字电视服务收费管理的通知》(穗发改规字〔2020〕2号)印发实施以来，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在</w:t>
      </w:r>
      <w:r>
        <w:rPr>
          <w:rFonts w:hint="default" w:ascii="Times New Roman" w:hAnsi="Times New Roman" w:eastAsia="仿宋_GB2312" w:cs="Times New Roman"/>
          <w:color w:val="000000" w:themeColor="text1"/>
          <w:sz w:val="32"/>
          <w:szCs w:val="32"/>
          <w14:textFill>
            <w14:solidFill>
              <w14:schemeClr w14:val="tx1"/>
            </w14:solidFill>
          </w14:textFill>
        </w:rPr>
        <w:t>规范有线</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电视服务收费行为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完善服务收费机制</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w:t>
      </w:r>
      <w:r>
        <w:rPr>
          <w:rFonts w:hint="default" w:ascii="Times New Roman" w:hAnsi="Times New Roman" w:eastAsia="仿宋_GB2312" w:cs="Times New Roman"/>
          <w:color w:val="000000" w:themeColor="text1"/>
          <w:sz w:val="32"/>
          <w:szCs w:val="32"/>
          <w14:textFill>
            <w14:solidFill>
              <w14:schemeClr w14:val="tx1"/>
            </w14:solidFill>
          </w14:textFill>
        </w:rPr>
        <w:t>保障有线</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电视用户和有线</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电视网络经营者的合法权益</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等方面发挥积极作用，</w:t>
      </w:r>
      <w:r>
        <w:rPr>
          <w:rFonts w:hint="default" w:ascii="Times New Roman" w:hAnsi="Times New Roman" w:eastAsia="仿宋_GB2312" w:cs="Times New Roman"/>
          <w:color w:val="000000" w:themeColor="text1"/>
          <w:sz w:val="32"/>
          <w:szCs w:val="32"/>
          <w14:textFill>
            <w14:solidFill>
              <w14:schemeClr w14:val="tx1"/>
            </w14:solidFill>
          </w14:textFill>
        </w:rPr>
        <w:t>得到</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相关各方的</w:t>
      </w:r>
      <w:r>
        <w:rPr>
          <w:rFonts w:hint="default" w:ascii="Times New Roman" w:hAnsi="Times New Roman" w:eastAsia="仿宋_GB2312" w:cs="Times New Roman"/>
          <w:color w:val="000000" w:themeColor="text1"/>
          <w:sz w:val="32"/>
          <w:szCs w:val="32"/>
          <w14:textFill>
            <w14:solidFill>
              <w14:schemeClr w14:val="tx1"/>
            </w14:solidFill>
          </w14:textFill>
        </w:rPr>
        <w:t>广泛认可。</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Times New Roman" w:hAnsi="Times New Roman" w:eastAsia="仿宋_GB2312" w:cs="Times New Roman"/>
          <w:color w:val="000000" w:themeColor="text1"/>
          <w:sz w:val="32"/>
          <w:szCs w:val="32"/>
          <w:lang w:eastAsia="zh-CN"/>
          <w14:textFill>
            <w14:solidFill>
              <w14:schemeClr w14:val="tx1"/>
            </w14:solidFill>
          </w14:textFill>
        </w:rPr>
        <w:t>按照</w:t>
      </w:r>
      <w:r>
        <w:rPr>
          <w:rFonts w:hint="default" w:ascii="Times New Roman" w:hAnsi="Times New Roman" w:eastAsia="仿宋_GB2312" w:cs="Times New Roman"/>
          <w:color w:val="000000" w:themeColor="text1"/>
          <w:sz w:val="32"/>
          <w:szCs w:val="32"/>
          <w14:textFill>
            <w14:solidFill>
              <w14:schemeClr w14:val="tx1"/>
            </w14:solidFill>
          </w14:textFill>
        </w:rPr>
        <w:t>国家</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、省关于政府定价管理和</w:t>
      </w:r>
      <w:r>
        <w:rPr>
          <w:rFonts w:hint="default" w:ascii="Times New Roman" w:hAnsi="Times New Roman" w:eastAsia="仿宋_GB2312" w:cs="Times New Roman"/>
          <w:color w:val="000000" w:themeColor="text1"/>
          <w:sz w:val="32"/>
          <w:szCs w:val="32"/>
          <w14:textFill>
            <w14:solidFill>
              <w14:schemeClr w14:val="tx1"/>
            </w14:solidFill>
          </w14:textFill>
        </w:rPr>
        <w:t>有线</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电视事业发展</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的有关规定</w:t>
      </w:r>
      <w:r>
        <w:rPr>
          <w:rFonts w:hint="default" w:ascii="Times New Roman" w:hAnsi="Times New Roman" w:eastAsia="仿宋_GB2312" w:cs="Times New Roman"/>
          <w:color w:val="000000" w:themeColor="text1"/>
          <w:sz w:val="32"/>
          <w:szCs w:val="32"/>
          <w14:textFill>
            <w14:solidFill>
              <w14:schemeClr w14:val="tx1"/>
            </w14:solidFill>
          </w14:textFill>
        </w:rPr>
        <w:t>，</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通过本次行政规范性文件修订</w:t>
      </w:r>
      <w:r>
        <w:rPr>
          <w:rFonts w:hint="default" w:ascii="Times New Roman" w:hAnsi="Times New Roman" w:eastAsia="仿宋_GB2312" w:cs="Times New Roman"/>
          <w:color w:val="000000" w:themeColor="text1"/>
          <w:sz w:val="32"/>
          <w:szCs w:val="32"/>
          <w14:textFill>
            <w14:solidFill>
              <w14:schemeClr w14:val="tx1"/>
            </w14:solidFill>
          </w14:textFill>
        </w:rPr>
        <w:t>，对有电视服务收费实行分类管理，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积极落实</w:t>
      </w:r>
      <w:r>
        <w:rPr>
          <w:rFonts w:hint="eastAsia" w:ascii="Times New Roman" w:hAnsi="Times New Roman" w:eastAsia="仿宋_GB2312" w:cs="Times New Roman"/>
          <w:color w:val="000000" w:themeColor="text1"/>
          <w:sz w:val="32"/>
          <w:szCs w:val="32"/>
          <w14:textFill>
            <w14:solidFill>
              <w14:schemeClr w14:val="tx1"/>
            </w14:solidFill>
          </w14:textFill>
        </w:rPr>
        <w:t>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减免政策，</w:t>
      </w:r>
      <w:r>
        <w:rPr>
          <w:rFonts w:hint="default" w:ascii="Times New Roman" w:hAnsi="Times New Roman" w:eastAsia="仿宋_GB2312" w:cs="Times New Roman"/>
          <w:color w:val="000000" w:themeColor="text1"/>
          <w:sz w:val="32"/>
          <w:szCs w:val="32"/>
          <w14:textFill>
            <w14:solidFill>
              <w14:schemeClr w14:val="tx1"/>
            </w14:solidFill>
          </w14:textFill>
        </w:rPr>
        <w:t>进一步规范有线</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电视收费行为</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。修订后的《通知》内容既严格落实国家、省的政策要求，又符合广州有线数字电视收费管理实际，将有效</w:t>
      </w:r>
      <w:r>
        <w:rPr>
          <w:rFonts w:hint="default" w:ascii="Times New Roman" w:hAnsi="Times New Roman" w:eastAsia="仿宋_GB2312" w:cs="Times New Roman"/>
          <w:color w:val="000000" w:themeColor="text1"/>
          <w:sz w:val="32"/>
          <w:szCs w:val="32"/>
          <w14:textFill>
            <w14:solidFill>
              <w14:schemeClr w14:val="tx1"/>
            </w14:solidFill>
          </w14:textFill>
        </w:rPr>
        <w:t>维护有线</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14:textFill>
            <w14:solidFill>
              <w14:schemeClr w14:val="tx1"/>
            </w14:solidFill>
          </w14:textFill>
        </w:rPr>
        <w:t>电视用户的合法权益，规范有线数字电视收费行为，促进有线数字电视行业的健康持续发展。</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三、</w:t>
      </w:r>
      <w:r>
        <w:rPr>
          <w:rFonts w:hint="eastAsia" w:ascii="Times New Roman" w:hAnsi="Times New Roman" w:eastAsia="黑体" w:cs="Times New Roman"/>
          <w:b w:val="0"/>
          <w:bCs/>
          <w:color w:val="000000" w:themeColor="text1"/>
          <w:sz w:val="32"/>
          <w:szCs w:val="32"/>
          <w:lang w:eastAsia="zh-CN"/>
          <w14:textFill>
            <w14:solidFill>
              <w14:schemeClr w14:val="tx1"/>
            </w14:solidFill>
          </w14:textFill>
        </w:rPr>
        <w:t>文件</w:t>
      </w:r>
      <w:r>
        <w:rPr>
          <w:rFonts w:hint="default" w:ascii="Times New Roman" w:hAnsi="Times New Roman" w:eastAsia="黑体" w:cs="Times New Roman"/>
          <w:b w:val="0"/>
          <w:bCs/>
          <w:color w:val="000000" w:themeColor="text1"/>
          <w:sz w:val="32"/>
          <w:szCs w:val="32"/>
          <w14:textFill>
            <w14:solidFill>
              <w14:schemeClr w14:val="tx1"/>
            </w14:solidFill>
          </w14:textFill>
        </w:rPr>
        <w:t>合法性</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楷体_GB2312" w:hAnsi="楷体_GB2312" w:eastAsia="楷体_GB2312" w:cs="楷体_GB2312"/>
          <w:sz w:val="32"/>
          <w:szCs w:val="32"/>
          <w:lang w:val="en-US" w:eastAsia="zh-CN"/>
        </w:rPr>
        <w:t>（一）修订主体合法。</w:t>
      </w:r>
      <w:r>
        <w:rPr>
          <w:rFonts w:hint="default" w:ascii="Times New Roman" w:hAnsi="Times New Roman" w:eastAsia="仿宋_GB2312" w:cs="Times New Roman"/>
          <w:color w:val="000000" w:themeColor="text1"/>
          <w:sz w:val="32"/>
          <w:szCs w:val="32"/>
          <w14:textFill>
            <w14:solidFill>
              <w14:schemeClr w14:val="tx1"/>
            </w14:solidFill>
          </w14:textFill>
        </w:rPr>
        <w:t>《有线电视基本收视维护费管理暂行办法》第三条</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规定，</w:t>
      </w:r>
      <w:r>
        <w:rPr>
          <w:rFonts w:hint="default" w:ascii="Times New Roman" w:hAnsi="Times New Roman" w:eastAsia="仿宋_GB2312" w:cs="Times New Roman"/>
          <w:color w:val="000000" w:themeColor="text1"/>
          <w:sz w:val="32"/>
          <w:szCs w:val="32"/>
          <w14:textFill>
            <w14:solidFill>
              <w14:schemeClr w14:val="tx1"/>
            </w14:solidFill>
          </w14:textFill>
        </w:rPr>
        <w:t>有线电视基本收视维护费实行政府定价</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color w:val="000000" w:themeColor="text1"/>
          <w:sz w:val="32"/>
          <w:szCs w:val="32"/>
          <w14:textFill>
            <w14:solidFill>
              <w14:schemeClr w14:val="tx1"/>
            </w14:solidFill>
          </w14:textFill>
        </w:rPr>
        <w:t>收费标准由价格主管部门制定。《广东省定价目录（2022年版）》第10</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条将</w:t>
      </w:r>
      <w:r>
        <w:rPr>
          <w:rFonts w:hint="default" w:ascii="Times New Roman" w:hAnsi="Times New Roman" w:eastAsia="仿宋_GB2312" w:cs="Times New Roman"/>
          <w:color w:val="000000" w:themeColor="text1"/>
          <w:sz w:val="32"/>
          <w:szCs w:val="32"/>
          <w14:textFill>
            <w14:solidFill>
              <w14:schemeClr w14:val="tx1"/>
            </w14:solidFill>
          </w14:textFill>
        </w:rPr>
        <w:t>有线数字电视基本收视维护费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列入政府</w:t>
      </w:r>
      <w:r>
        <w:rPr>
          <w:rFonts w:hint="default" w:ascii="Times New Roman" w:hAnsi="Times New Roman" w:eastAsia="仿宋_GB2312" w:cs="Times New Roman"/>
          <w:color w:val="000000" w:themeColor="text1"/>
          <w:sz w:val="32"/>
          <w:szCs w:val="32"/>
          <w14:textFill>
            <w14:solidFill>
              <w14:schemeClr w14:val="tx1"/>
            </w14:solidFill>
          </w14:textFill>
        </w:rPr>
        <w:t>定价内容，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并</w:t>
      </w:r>
      <w:r>
        <w:rPr>
          <w:rFonts w:hint="default" w:ascii="Times New Roman" w:hAnsi="Times New Roman" w:eastAsia="仿宋_GB2312" w:cs="Times New Roman"/>
          <w:color w:val="000000" w:themeColor="text1"/>
          <w:sz w:val="32"/>
          <w:szCs w:val="32"/>
          <w14:textFill>
            <w14:solidFill>
              <w14:schemeClr w14:val="tx1"/>
            </w14:solidFill>
          </w14:textFill>
        </w:rPr>
        <w:t>授权市、县人民政府。</w:t>
      </w:r>
      <w:r>
        <w:rPr>
          <w:rFonts w:hint="eastAsia" w:ascii="Times New Roman" w:hAnsi="Times New Roman" w:eastAsia="仿宋_GB2312" w:cs="Times New Roman"/>
          <w:sz w:val="32"/>
          <w:szCs w:val="32"/>
          <w:lang w:eastAsia="zh-CN"/>
        </w:rPr>
        <w:t>我委作为市政府价格主管部门，牵头制定《办法》符合上述规定。</w:t>
      </w:r>
    </w:p>
    <w:p>
      <w:pPr>
        <w:pStyle w:val="29"/>
        <w:keepNext w:val="0"/>
        <w:keepLines w:val="0"/>
        <w:pageBreakBefore w:val="0"/>
        <w:widowControl w:val="0"/>
        <w:kinsoku/>
        <w:wordWrap/>
        <w:overflowPunct/>
        <w:topLinePunct w:val="0"/>
        <w:autoSpaceDE/>
        <w:autoSpaceDN/>
        <w:bidi w:val="0"/>
        <w:spacing w:line="560" w:lineRule="exact"/>
        <w:ind w:firstLine="64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楷体_GB2312" w:hAnsi="楷体_GB2312" w:eastAsia="楷体_GB2312" w:cs="楷体_GB2312"/>
          <w:b w:val="0"/>
          <w:bCs w:val="0"/>
          <w:kern w:val="2"/>
          <w:sz w:val="32"/>
          <w:szCs w:val="32"/>
          <w:lang w:val="en-US" w:eastAsia="zh-CN" w:bidi="ar-SA"/>
        </w:rPr>
        <w:t>（二）主要内容合法。</w:t>
      </w:r>
      <w:r>
        <w:rPr>
          <w:rFonts w:hint="default" w:ascii="Times New Roman" w:hAnsi="Times New Roman" w:eastAsia="仿宋_GB2312" w:cs="Times New Roman"/>
          <w:color w:val="000000" w:themeColor="text1"/>
          <w:sz w:val="32"/>
          <w:szCs w:val="32"/>
          <w14:textFill>
            <w14:solidFill>
              <w14:schemeClr w14:val="tx1"/>
            </w14:solidFill>
          </w14:textFill>
        </w:rPr>
        <w:t>《通知》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明确了有线数字电视</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价格标准，积极落实</w:t>
      </w:r>
      <w:r>
        <w:rPr>
          <w:rFonts w:hint="eastAsia" w:ascii="Times New Roman" w:hAnsi="Times New Roman" w:eastAsia="仿宋_GB2312" w:cs="Times New Roman"/>
          <w:color w:val="000000" w:themeColor="text1"/>
          <w:sz w:val="32"/>
          <w:szCs w:val="32"/>
          <w14:textFill>
            <w14:solidFill>
              <w14:schemeClr w14:val="tx1"/>
            </w14:solidFill>
          </w14:textFill>
        </w:rPr>
        <w:t>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减免政策，进一步规范收费行为，上述内容符合</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《中华人民共和国价格法》《</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国家发展和改革委员会</w:t>
      </w:r>
      <w:r>
        <w:rPr>
          <w:rFonts w:hint="eastAsia" w:ascii="Times New Roman" w:hAnsi="Times New Roman" w:eastAsia="仿宋_GB2312" w:cs="Times New Roman"/>
          <w:color w:val="000000" w:themeColor="text1"/>
          <w:sz w:val="32"/>
          <w:szCs w:val="32"/>
          <w:lang w:val="en-US" w:eastAsia="zh-CN"/>
          <w14:textFill>
            <w14:solidFill>
              <w14:schemeClr w14:val="tx1"/>
            </w14:solidFill>
          </w14:textFill>
        </w:rPr>
        <w:t xml:space="preserve"> </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国家广播电影电视总局</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关于进一步完善我省有线数字电视服务收费政策的通知》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及</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《关于减免困难</w:t>
      </w:r>
      <w:r>
        <w:rPr>
          <w:rFonts w:hint="default" w:ascii="Times New Roman" w:hAnsi="Times New Roman" w:eastAsia="仿宋_GB2312" w:cs="Times New Roman"/>
          <w:color w:val="000000" w:themeColor="text1"/>
          <w:sz w:val="32"/>
          <w:szCs w:val="32"/>
          <w14:textFill>
            <w14:solidFill>
              <w14:schemeClr w14:val="tx1"/>
            </w14:solidFill>
          </w14:textFill>
        </w:rPr>
        <w:t>群体有线（模拟）电视服务收费的通知》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等相关文件规定</w:t>
      </w:r>
      <w:r>
        <w:rPr>
          <w:rFonts w:hint="default" w:ascii="Times New Roman" w:hAnsi="Times New Roman" w:eastAsia="仿宋_GB2312" w:cs="Times New Roman"/>
          <w:color w:val="000000" w:themeColor="text1"/>
          <w:sz w:val="32"/>
          <w:szCs w:val="32"/>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Times New Roman" w:hAnsi="Times New Roman" w:eastAsia="楷体_GB2312" w:cs="Times New Roman"/>
          <w:sz w:val="32"/>
          <w:szCs w:val="32"/>
          <w:lang w:val="en-US" w:eastAsia="zh-CN"/>
        </w:rPr>
        <w:t>（三）</w:t>
      </w:r>
      <w:r>
        <w:rPr>
          <w:rFonts w:hint="eastAsia" w:ascii="Times New Roman" w:hAnsi="Times New Roman" w:eastAsia="楷体_GB2312" w:cs="Times New Roman"/>
          <w:sz w:val="32"/>
          <w:szCs w:val="32"/>
          <w:lang w:eastAsia="zh-CN"/>
        </w:rPr>
        <w:t>修订</w:t>
      </w:r>
      <w:r>
        <w:rPr>
          <w:rFonts w:hint="default" w:ascii="Times New Roman" w:hAnsi="Times New Roman" w:eastAsia="楷体_GB2312" w:cs="Times New Roman"/>
          <w:sz w:val="32"/>
          <w:szCs w:val="32"/>
          <w:lang w:eastAsia="zh-CN"/>
        </w:rPr>
        <w:t>程序合法。</w:t>
      </w:r>
      <w:r>
        <w:rPr>
          <w:rFonts w:hint="eastAsia" w:ascii="Times New Roman" w:hAnsi="Times New Roman" w:eastAsia="仿宋_GB2312" w:cs="Times New Roman"/>
          <w:sz w:val="32"/>
          <w:szCs w:val="32"/>
          <w:lang w:eastAsia="zh-CN"/>
        </w:rPr>
        <w:t>《通知》已广泛征求省、市相关部门、有线数字电视网络运营商意</w:t>
      </w:r>
      <w:r>
        <w:rPr>
          <w:rFonts w:hint="eastAsia" w:ascii="Times New Roman" w:hAnsi="Times New Roman" w:eastAsia="仿宋_GB2312" w:cs="Times New Roman"/>
          <w:sz w:val="32"/>
          <w:szCs w:val="32"/>
        </w:rPr>
        <w:t>见</w:t>
      </w:r>
      <w:r>
        <w:rPr>
          <w:rFonts w:hint="eastAsia" w:ascii="Times New Roman" w:hAnsi="Times New Roman" w:eastAsia="仿宋_GB2312" w:cs="Times New Roman"/>
          <w:sz w:val="32"/>
          <w:szCs w:val="32"/>
          <w:lang w:eastAsia="zh-CN"/>
        </w:rPr>
        <w:t>，并进行了修改完善。在公开征求公众意见后，将按照《广州市行政规范性文件管理规定》的有关要求，按程序开展合法性审查、委内公平竞争审查、集体审议等相关工作</w:t>
      </w:r>
      <w:r>
        <w:rPr>
          <w:rFonts w:hint="eastAsia"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四、</w:t>
      </w:r>
      <w:r>
        <w:rPr>
          <w:rFonts w:hint="eastAsia" w:ascii="Times New Roman" w:hAnsi="Times New Roman" w:eastAsia="黑体" w:cs="Times New Roman"/>
          <w:b w:val="0"/>
          <w:bCs/>
          <w:color w:val="000000" w:themeColor="text1"/>
          <w:sz w:val="32"/>
          <w:szCs w:val="32"/>
          <w:lang w:eastAsia="zh-CN"/>
          <w14:textFill>
            <w14:solidFill>
              <w14:schemeClr w14:val="tx1"/>
            </w14:solidFill>
          </w14:textFill>
        </w:rPr>
        <w:t>文件</w:t>
      </w:r>
      <w:r>
        <w:rPr>
          <w:rFonts w:hint="default" w:ascii="Times New Roman" w:hAnsi="Times New Roman" w:eastAsia="黑体" w:cs="Times New Roman"/>
          <w:b w:val="0"/>
          <w:bCs/>
          <w:color w:val="000000" w:themeColor="text1"/>
          <w:sz w:val="32"/>
          <w:szCs w:val="32"/>
          <w14:textFill>
            <w14:solidFill>
              <w14:schemeClr w14:val="tx1"/>
            </w14:solidFill>
          </w14:textFill>
        </w:rPr>
        <w:t>合理性</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sz w:val="32"/>
          <w:szCs w:val="32"/>
          <w:lang w:eastAsia="zh-CN"/>
        </w:rPr>
      </w:pPr>
      <w:r>
        <w:rPr>
          <w:rFonts w:hint="eastAsia" w:ascii="Times New Roman" w:hAnsi="Times New Roman" w:eastAsia="仿宋_GB2312" w:cs="Times New Roman"/>
          <w:color w:val="000000" w:themeColor="text1"/>
          <w:sz w:val="32"/>
          <w:szCs w:val="32"/>
          <w:lang w:eastAsia="zh-CN"/>
          <w14:textFill>
            <w14:solidFill>
              <w14:schemeClr w14:val="tx1"/>
            </w14:solidFill>
          </w14:textFill>
        </w:rPr>
        <w:t>一是《通知》按照国家有关要求</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实行政府定价</w:t>
      </w:r>
      <w:r>
        <w:rPr>
          <w:rFonts w:hint="eastAsia" w:ascii="Times New Roman" w:hAnsi="Times New Roman" w:eastAsia="仿宋_GB2312" w:cs="Times New Roman"/>
          <w:sz w:val="32"/>
          <w:szCs w:val="32"/>
          <w:lang w:eastAsia="zh-CN"/>
        </w:rPr>
        <w:t>管理的</w:t>
      </w:r>
      <w:r>
        <w:rPr>
          <w:rFonts w:hint="default" w:ascii="Times New Roman" w:hAnsi="Times New Roman" w:eastAsia="仿宋_GB2312" w:cs="Times New Roman"/>
          <w:sz w:val="32"/>
          <w:szCs w:val="32"/>
          <w:lang w:eastAsia="zh-CN"/>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lang w:eastAsia="zh-CN"/>
        </w:rPr>
        <w:t>电视基本收视维护费</w:t>
      </w:r>
      <w:r>
        <w:rPr>
          <w:rFonts w:hint="eastAsia" w:ascii="Times New Roman" w:hAnsi="Times New Roman" w:eastAsia="仿宋_GB2312" w:cs="Times New Roman"/>
          <w:sz w:val="32"/>
          <w:szCs w:val="32"/>
          <w:lang w:eastAsia="zh-CN"/>
        </w:rPr>
        <w:t>收费标准保持不变</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不会增加用户消费支出。</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Times New Roman" w:hAnsi="Times New Roman" w:eastAsia="仿宋_GB2312" w:cs="Times New Roman"/>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sz w:val="32"/>
          <w:szCs w:val="32"/>
          <w:lang w:eastAsia="zh-CN"/>
        </w:rPr>
        <w:t>二是《通知》明确</w:t>
      </w:r>
      <w:r>
        <w:rPr>
          <w:rFonts w:hint="default" w:ascii="Times New Roman" w:hAnsi="Times New Roman" w:eastAsia="仿宋_GB2312" w:cs="Times New Roman"/>
          <w:sz w:val="32"/>
          <w:szCs w:val="32"/>
          <w:lang w:eastAsia="zh-CN"/>
        </w:rPr>
        <w:t>IC卡补卡工本费、装机服务费、机顶盒销售价格、个性化增值业务收</w:t>
      </w:r>
      <w:r>
        <w:rPr>
          <w:rFonts w:hint="default" w:ascii="Times New Roman" w:hAnsi="Times New Roman" w:eastAsia="仿宋_GB2312" w:cs="Times New Roman"/>
          <w:sz w:val="32"/>
          <w:szCs w:val="32"/>
        </w:rPr>
        <w:t>费</w:t>
      </w:r>
      <w:r>
        <w:rPr>
          <w:rFonts w:hint="eastAsia" w:ascii="Times New Roman" w:hAnsi="Times New Roman" w:eastAsia="仿宋_GB2312" w:cs="Times New Roman"/>
          <w:sz w:val="32"/>
          <w:szCs w:val="32"/>
          <w:lang w:eastAsia="zh-CN"/>
        </w:rPr>
        <w:t>等</w:t>
      </w:r>
      <w:r>
        <w:rPr>
          <w:rFonts w:hint="default" w:ascii="Times New Roman" w:hAnsi="Times New Roman" w:eastAsia="仿宋_GB2312" w:cs="Times New Roman"/>
          <w:sz w:val="32"/>
          <w:szCs w:val="32"/>
          <w:lang w:eastAsia="zh-CN"/>
        </w:rPr>
        <w:t>实行市场调节价</w:t>
      </w:r>
      <w:r>
        <w:rPr>
          <w:rFonts w:hint="default" w:ascii="Times New Roman" w:hAnsi="Times New Roman" w:eastAsia="仿宋_GB2312" w:cs="Times New Roman"/>
          <w:sz w:val="32"/>
          <w:szCs w:val="32"/>
          <w:lang w:val="en-US" w:eastAsia="zh-CN"/>
        </w:rPr>
        <w:t>管理</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，可提高</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有线</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电视网络</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运</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商丰富服务项目、改善服务质量的积极性，同时让用户享受更好的收视服务。</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r>
        <w:rPr>
          <w:rFonts w:hint="eastAsia" w:ascii="Times New Roman" w:hAnsi="Times New Roman" w:eastAsia="仿宋_GB2312" w:cs="Times New Roman"/>
          <w:color w:val="000000" w:themeColor="text1"/>
          <w:sz w:val="32"/>
          <w:szCs w:val="32"/>
          <w:lang w:eastAsia="zh-CN"/>
          <w14:textFill>
            <w14:solidFill>
              <w14:schemeClr w14:val="tx1"/>
            </w14:solidFill>
          </w14:textFill>
        </w:rPr>
        <w:t>三是《通知》进一步明确了</w:t>
      </w:r>
      <w:r>
        <w:rPr>
          <w:rFonts w:hint="eastAsia" w:ascii="Times New Roman" w:hAnsi="Times New Roman" w:eastAsia="仿宋_GB2312" w:cs="Times New Roman"/>
          <w:color w:val="000000" w:themeColor="text1"/>
          <w:sz w:val="32"/>
          <w:szCs w:val="32"/>
          <w14:textFill>
            <w14:solidFill>
              <w14:schemeClr w14:val="tx1"/>
            </w14:solidFill>
          </w14:textFill>
        </w:rPr>
        <w:t>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减免政策受惠对象，并在部门职责明确认定的方式，便于</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有线</w:t>
      </w:r>
      <w:r>
        <w:rPr>
          <w:rFonts w:hint="default" w:ascii="Times New Roman" w:hAnsi="Times New Roman" w:eastAsia="仿宋_GB2312" w:cs="Times New Roman"/>
          <w:color w:val="000000" w:themeColor="text1"/>
          <w:sz w:val="32"/>
          <w:szCs w:val="32"/>
          <w:lang w:val="en-US" w:eastAsia="zh-CN"/>
          <w14:textFill>
            <w14:solidFill>
              <w14:schemeClr w14:val="tx1"/>
            </w14:solidFill>
          </w14:textFill>
        </w:rPr>
        <w:t>数字</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电视网络</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运</w:t>
      </w:r>
      <w:r>
        <w:rPr>
          <w:rFonts w:hint="default" w:ascii="Times New Roman" w:hAnsi="Times New Roman" w:eastAsia="仿宋_GB2312" w:cs="Times New Roman"/>
          <w:color w:val="000000" w:themeColor="text1"/>
          <w:sz w:val="32"/>
          <w:szCs w:val="32"/>
          <w:lang w:eastAsia="zh-CN"/>
          <w14:textFill>
            <w14:solidFill>
              <w14:schemeClr w14:val="tx1"/>
            </w14:solidFill>
          </w14:textFill>
        </w:rPr>
        <w:t>营</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商更加有效地落实，积极解决受惠对象认定难的问题。</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五、</w:t>
      </w:r>
      <w:r>
        <w:rPr>
          <w:rFonts w:hint="eastAsia" w:ascii="黑体" w:hAnsi="黑体" w:eastAsia="黑体" w:cs="黑体"/>
          <w:sz w:val="32"/>
          <w:szCs w:val="32"/>
          <w:lang w:eastAsia="zh-CN"/>
        </w:rPr>
        <w:t>文件出台后的</w:t>
      </w:r>
      <w:r>
        <w:rPr>
          <w:rFonts w:hint="eastAsia" w:ascii="黑体" w:hAnsi="黑体" w:eastAsia="黑体" w:cs="黑体"/>
          <w:sz w:val="32"/>
          <w:szCs w:val="32"/>
        </w:rPr>
        <w:t>预期效果</w:t>
      </w:r>
      <w:r>
        <w:rPr>
          <w:rFonts w:hint="eastAsia" w:ascii="黑体" w:hAnsi="黑体" w:eastAsia="黑体" w:cs="黑体"/>
          <w:sz w:val="32"/>
          <w:szCs w:val="32"/>
          <w:lang w:eastAsia="zh-CN"/>
        </w:rPr>
        <w:t>和影响评估</w:t>
      </w:r>
    </w:p>
    <w:p>
      <w:pPr>
        <w:pStyle w:val="29"/>
        <w:keepNext w:val="0"/>
        <w:keepLines w:val="0"/>
        <w:pageBreakBefore w:val="0"/>
        <w:widowControl w:val="0"/>
        <w:kinsoku/>
        <w:wordWrap/>
        <w:overflowPunct/>
        <w:topLinePunct w:val="0"/>
        <w:autoSpaceDE/>
        <w:autoSpaceDN/>
        <w:bidi w:val="0"/>
        <w:spacing w:line="560" w:lineRule="exact"/>
        <w:ind w:firstLine="640"/>
        <w:textAlignment w:val="auto"/>
        <w:rPr>
          <w:rFonts w:hint="eastAsia" w:ascii="Times New Roman" w:hAnsi="Times New Roman" w:eastAsia="仿宋_GB2312" w:cs="Times New Roman"/>
          <w:color w:val="000000" w:themeColor="text1"/>
          <w:sz w:val="32"/>
          <w:szCs w:val="32"/>
          <w:lang w:eastAsia="zh-CN"/>
          <w14:textFill>
            <w14:solidFill>
              <w14:schemeClr w14:val="tx1"/>
            </w14:solidFill>
          </w14:textFill>
        </w:rPr>
      </w:pP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通知</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出台后作为我市有线数字电视收费管理的规范性文件，明确了实行政府定价管理的</w:t>
      </w:r>
      <w:r>
        <w:rPr>
          <w:rFonts w:hint="default" w:ascii="Times New Roman" w:hAnsi="Times New Roman" w:eastAsia="仿宋_GB2312" w:cs="Times New Roman"/>
          <w:sz w:val="32"/>
          <w:szCs w:val="32"/>
          <w:lang w:eastAsia="zh-CN"/>
        </w:rPr>
        <w:t>有线</w:t>
      </w:r>
      <w:r>
        <w:rPr>
          <w:rFonts w:hint="eastAsia" w:ascii="Times New Roman" w:hAnsi="Times New Roman" w:eastAsia="仿宋_GB2312" w:cs="Times New Roman"/>
          <w:sz w:val="32"/>
          <w:szCs w:val="32"/>
          <w:lang w:eastAsia="zh-CN"/>
        </w:rPr>
        <w:t>数字</w:t>
      </w:r>
      <w:r>
        <w:rPr>
          <w:rFonts w:hint="default" w:ascii="Times New Roman" w:hAnsi="Times New Roman" w:eastAsia="仿宋_GB2312" w:cs="Times New Roman"/>
          <w:sz w:val="32"/>
          <w:szCs w:val="32"/>
          <w:lang w:eastAsia="zh-CN"/>
        </w:rPr>
        <w:t>电视基本收视维护费</w:t>
      </w:r>
      <w:r>
        <w:rPr>
          <w:rFonts w:hint="eastAsia" w:ascii="Times New Roman" w:hAnsi="Times New Roman" w:eastAsia="仿宋_GB2312" w:cs="Times New Roman"/>
          <w:sz w:val="32"/>
          <w:szCs w:val="32"/>
          <w:lang w:eastAsia="zh-CN"/>
        </w:rPr>
        <w:t>收费标准，对实行市场调节价管理的</w:t>
      </w:r>
      <w:r>
        <w:rPr>
          <w:rFonts w:hint="default" w:ascii="Times New Roman" w:hAnsi="Times New Roman" w:eastAsia="仿宋_GB2312" w:cs="Times New Roman"/>
          <w:sz w:val="32"/>
          <w:szCs w:val="32"/>
        </w:rPr>
        <w:t>装机服务</w:t>
      </w:r>
      <w:r>
        <w:rPr>
          <w:rFonts w:hint="eastAsia" w:ascii="Times New Roman" w:hAnsi="Times New Roman" w:eastAsia="仿宋_GB2312" w:cs="Times New Roman"/>
          <w:sz w:val="32"/>
          <w:szCs w:val="32"/>
          <w:lang w:eastAsia="zh-CN"/>
        </w:rPr>
        <w:t>费</w:t>
      </w:r>
      <w:r>
        <w:rPr>
          <w:rFonts w:hint="default" w:ascii="Times New Roman" w:hAnsi="Times New Roman" w:eastAsia="仿宋_GB2312" w:cs="Times New Roman"/>
          <w:sz w:val="32"/>
          <w:szCs w:val="32"/>
        </w:rPr>
        <w:t>、机顶盒</w:t>
      </w:r>
      <w:r>
        <w:rPr>
          <w:rFonts w:hint="eastAsia" w:ascii="Times New Roman" w:hAnsi="Times New Roman" w:eastAsia="仿宋_GB2312" w:cs="Times New Roman"/>
          <w:sz w:val="32"/>
          <w:szCs w:val="32"/>
          <w:lang w:eastAsia="zh-CN"/>
        </w:rPr>
        <w:t>销售价格、</w:t>
      </w:r>
      <w:r>
        <w:rPr>
          <w:rFonts w:hint="default" w:ascii="Times New Roman" w:hAnsi="Times New Roman" w:eastAsia="仿宋_GB2312" w:cs="Times New Roman"/>
          <w:sz w:val="32"/>
          <w:szCs w:val="32"/>
        </w:rPr>
        <w:t>个性化增值业务收费</w:t>
      </w:r>
      <w:r>
        <w:rPr>
          <w:rFonts w:hint="eastAsia" w:ascii="Times New Roman" w:hAnsi="Times New Roman" w:eastAsia="仿宋_GB2312" w:cs="Times New Roman"/>
          <w:sz w:val="32"/>
          <w:szCs w:val="32"/>
          <w:lang w:eastAsia="zh-CN"/>
        </w:rPr>
        <w:t>进行了规范，明确了</w:t>
      </w:r>
      <w:r>
        <w:rPr>
          <w:rFonts w:hint="eastAsia" w:ascii="Times New Roman" w:hAnsi="Times New Roman" w:eastAsia="仿宋_GB2312" w:cs="Times New Roman"/>
          <w:color w:val="000000" w:themeColor="text1"/>
          <w:sz w:val="32"/>
          <w:szCs w:val="32"/>
          <w14:textFill>
            <w14:solidFill>
              <w14:schemeClr w14:val="tx1"/>
            </w14:solidFill>
          </w14:textFill>
        </w:rPr>
        <w:t>基本收视维护费</w:t>
      </w:r>
      <w:r>
        <w:rPr>
          <w:rFonts w:hint="eastAsia" w:ascii="Times New Roman" w:hAnsi="Times New Roman" w:eastAsia="仿宋_GB2312" w:cs="Times New Roman"/>
          <w:color w:val="000000" w:themeColor="text1"/>
          <w:sz w:val="32"/>
          <w:szCs w:val="32"/>
          <w:lang w:eastAsia="zh-CN"/>
          <w14:textFill>
            <w14:solidFill>
              <w14:schemeClr w14:val="tx1"/>
            </w14:solidFill>
          </w14:textFill>
        </w:rPr>
        <w:t>减免政策受惠对象和相关部门职责</w:t>
      </w: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有利于更好</w:t>
      </w:r>
      <w:r>
        <w:rPr>
          <w:rFonts w:hint="default" w:ascii="Times New Roman" w:hAnsi="Times New Roman" w:eastAsia="仿宋_GB2312" w:cs="Times New Roman"/>
          <w:sz w:val="32"/>
          <w:szCs w:val="32"/>
        </w:rPr>
        <w:t>维护</w:t>
      </w:r>
      <w:r>
        <w:rPr>
          <w:rFonts w:hint="eastAsia" w:ascii="Times New Roman" w:hAnsi="Times New Roman" w:eastAsia="仿宋_GB2312" w:cs="Times New Roman"/>
          <w:sz w:val="32"/>
          <w:szCs w:val="32"/>
          <w:lang w:eastAsia="zh-CN"/>
        </w:rPr>
        <w:t>有线数字</w:t>
      </w:r>
      <w:r>
        <w:rPr>
          <w:rFonts w:hint="default" w:ascii="Times New Roman" w:hAnsi="Times New Roman" w:eastAsia="仿宋_GB2312" w:cs="Times New Roman"/>
          <w:sz w:val="32"/>
          <w:szCs w:val="32"/>
        </w:rPr>
        <w:t>电视用户</w:t>
      </w:r>
      <w:r>
        <w:rPr>
          <w:rFonts w:hint="eastAsia" w:ascii="Times New Roman" w:hAnsi="Times New Roman" w:eastAsia="仿宋_GB2312" w:cs="Times New Roman"/>
          <w:sz w:val="32"/>
          <w:szCs w:val="32"/>
          <w:lang w:eastAsia="zh-CN"/>
        </w:rPr>
        <w:t>和网络运营者</w:t>
      </w:r>
      <w:r>
        <w:rPr>
          <w:rFonts w:hint="default" w:ascii="Times New Roman" w:hAnsi="Times New Roman" w:eastAsia="仿宋_GB2312" w:cs="Times New Roman"/>
          <w:sz w:val="32"/>
          <w:szCs w:val="32"/>
        </w:rPr>
        <w:t>合法权益</w:t>
      </w:r>
      <w:r>
        <w:rPr>
          <w:rFonts w:hint="eastAsia" w:ascii="Times New Roman" w:hAnsi="Times New Roman" w:eastAsia="仿宋_GB2312" w:cs="Times New Roman"/>
          <w:sz w:val="32"/>
          <w:szCs w:val="32"/>
          <w:lang w:eastAsia="zh-CN"/>
        </w:rPr>
        <w:t>，</w:t>
      </w:r>
      <w:r>
        <w:rPr>
          <w:rFonts w:hint="eastAsia" w:ascii="仿宋_GB2312" w:hAnsi="仿宋_GB2312" w:eastAsia="仿宋_GB2312" w:cs="仿宋_GB2312"/>
          <w:color w:val="auto"/>
          <w:sz w:val="32"/>
          <w:szCs w:val="32"/>
          <w:shd w:val="clear" w:color="auto" w:fill="FFFFFF"/>
        </w:rPr>
        <w:t>促进有线</w:t>
      </w:r>
      <w:r>
        <w:rPr>
          <w:rFonts w:hint="eastAsia" w:ascii="仿宋_GB2312" w:hAnsi="仿宋_GB2312" w:eastAsia="仿宋_GB2312" w:cs="仿宋_GB2312"/>
          <w:color w:val="auto"/>
          <w:sz w:val="32"/>
          <w:szCs w:val="32"/>
          <w:shd w:val="clear" w:color="auto" w:fill="FFFFFF"/>
          <w:lang w:eastAsia="zh-CN"/>
        </w:rPr>
        <w:t>数字</w:t>
      </w:r>
      <w:r>
        <w:rPr>
          <w:rFonts w:hint="eastAsia" w:ascii="仿宋_GB2312" w:hAnsi="仿宋_GB2312" w:eastAsia="仿宋_GB2312" w:cs="仿宋_GB2312"/>
          <w:color w:val="auto"/>
          <w:sz w:val="32"/>
          <w:szCs w:val="32"/>
          <w:shd w:val="clear" w:color="auto" w:fill="FFFFFF"/>
        </w:rPr>
        <w:t>电视行业持续健康发展</w:t>
      </w:r>
      <w:r>
        <w:rPr>
          <w:rFonts w:hint="eastAsia" w:ascii="仿宋_GB2312" w:hAnsi="仿宋_GB2312" w:eastAsia="仿宋_GB2312" w:cs="仿宋_GB2312"/>
          <w:color w:val="auto"/>
          <w:sz w:val="32"/>
          <w:szCs w:val="32"/>
          <w:shd w:val="clear" w:color="auto" w:fill="FFFFFF"/>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outlineLvl w:val="0"/>
        <w:rPr>
          <w:rFonts w:hint="default" w:ascii="Times New Roman" w:hAnsi="Times New Roman" w:eastAsia="黑体" w:cs="Times New Roman"/>
          <w:b w:val="0"/>
          <w:bCs/>
          <w:color w:val="000000" w:themeColor="text1"/>
          <w:sz w:val="32"/>
          <w:szCs w:val="32"/>
          <w14:textFill>
            <w14:solidFill>
              <w14:schemeClr w14:val="tx1"/>
            </w14:solidFill>
          </w14:textFill>
        </w:rPr>
      </w:pPr>
      <w:r>
        <w:rPr>
          <w:rFonts w:hint="default" w:ascii="Times New Roman" w:hAnsi="Times New Roman" w:eastAsia="黑体" w:cs="Times New Roman"/>
          <w:b w:val="0"/>
          <w:bCs/>
          <w:color w:val="000000" w:themeColor="text1"/>
          <w:sz w:val="32"/>
          <w:szCs w:val="32"/>
          <w14:textFill>
            <w14:solidFill>
              <w14:schemeClr w14:val="tx1"/>
            </w14:solidFill>
          </w14:textFill>
        </w:rPr>
        <w:t>六、</w:t>
      </w:r>
      <w:r>
        <w:rPr>
          <w:rFonts w:hint="eastAsia" w:ascii="黑体" w:hAnsi="黑体" w:eastAsia="黑体" w:cs="黑体"/>
          <w:sz w:val="32"/>
          <w:szCs w:val="32"/>
          <w:lang w:eastAsia="zh-CN"/>
        </w:rPr>
        <w:t>评估</w:t>
      </w:r>
      <w:r>
        <w:rPr>
          <w:rFonts w:hint="eastAsia" w:ascii="黑体" w:hAnsi="黑体" w:eastAsia="黑体" w:cs="黑体"/>
          <w:sz w:val="32"/>
          <w:szCs w:val="32"/>
        </w:rPr>
        <w:t>结论</w:t>
      </w:r>
    </w:p>
    <w:p>
      <w:pPr>
        <w:adjustRightInd w:val="0"/>
        <w:snapToGrid w:val="0"/>
        <w:spacing w:after="0" w:line="560" w:lineRule="exac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w:t>
      </w:r>
      <w:r>
        <w:rPr>
          <w:rFonts w:hint="eastAsia" w:ascii="Times New Roman" w:hAnsi="Times New Roman" w:eastAsia="仿宋_GB2312" w:cs="Times New Roman"/>
          <w:sz w:val="32"/>
          <w:szCs w:val="32"/>
          <w:lang w:eastAsia="zh-CN"/>
        </w:rPr>
        <w:t>通知》严格落实规范性文件修订的程序要求，修订主体、主要内容、制定程序合法。《办法》内容合理，关于有线数字电视收费的有关规定符合广州实际，具有较强的可行性和操作性，能够有效规范我市公共文化设施收费行为，</w:t>
      </w:r>
      <w:r>
        <w:rPr>
          <w:rFonts w:hint="eastAsia" w:ascii="仿宋_GB2312" w:hAnsi="仿宋_GB2312" w:eastAsia="仿宋_GB2312" w:cs="仿宋_GB2312"/>
          <w:color w:val="auto"/>
          <w:sz w:val="32"/>
          <w:szCs w:val="32"/>
          <w:shd w:val="clear" w:color="auto" w:fill="FFFFFF"/>
        </w:rPr>
        <w:t>促进有线</w:t>
      </w:r>
      <w:r>
        <w:rPr>
          <w:rFonts w:hint="eastAsia" w:ascii="仿宋_GB2312" w:hAnsi="仿宋_GB2312" w:eastAsia="仿宋_GB2312" w:cs="仿宋_GB2312"/>
          <w:color w:val="auto"/>
          <w:sz w:val="32"/>
          <w:szCs w:val="32"/>
          <w:shd w:val="clear" w:color="auto" w:fill="FFFFFF"/>
          <w:lang w:eastAsia="zh-CN"/>
        </w:rPr>
        <w:t>数字</w:t>
      </w:r>
      <w:r>
        <w:rPr>
          <w:rFonts w:hint="eastAsia" w:ascii="仿宋_GB2312" w:hAnsi="仿宋_GB2312" w:eastAsia="仿宋_GB2312" w:cs="仿宋_GB2312"/>
          <w:color w:val="auto"/>
          <w:sz w:val="32"/>
          <w:szCs w:val="32"/>
          <w:shd w:val="clear" w:color="auto" w:fill="FFFFFF"/>
        </w:rPr>
        <w:t>电视行业持续健康发展</w:t>
      </w:r>
      <w:r>
        <w:rPr>
          <w:rFonts w:hint="eastAsia" w:ascii="Times New Roman" w:hAnsi="Times New Roman" w:eastAsia="仿宋_GB2312" w:cs="Times New Roman"/>
          <w:sz w:val="32"/>
          <w:szCs w:val="32"/>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default" w:ascii="Times New Roman" w:hAnsi="Times New Roman" w:eastAsia="仿宋_GB2312" w:cs="Times New Roman"/>
          <w:color w:val="000000" w:themeColor="text1"/>
          <w:sz w:val="32"/>
          <w:szCs w:val="32"/>
          <w14:textFill>
            <w14:solidFill>
              <w14:schemeClr w14:val="tx1"/>
            </w14:solidFill>
          </w14:textFill>
        </w:rPr>
      </w:pPr>
    </w:p>
    <w:sectPr>
      <w:footerReference r:id="rId4" w:type="first"/>
      <w:footerReference r:id="rId3" w:type="default"/>
      <w:pgSz w:w="11906" w:h="16838"/>
      <w:pgMar w:top="1440" w:right="1800" w:bottom="1440" w:left="1800" w:header="851" w:footer="757"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等线">
    <w:altName w:val="华文仿宋"/>
    <w:panose1 w:val="02010600030101010101"/>
    <w:charset w:val="86"/>
    <w:family w:val="auto"/>
    <w:pitch w:val="default"/>
    <w:sig w:usb0="00000000" w:usb1="00000000" w:usb2="00000016" w:usb3="00000000" w:csb0="0004000F" w:csb1="00000000"/>
  </w:font>
  <w:font w:name="等线">
    <w:altName w:val="汉仪仿宋S"/>
    <w:panose1 w:val="00000000000000000000"/>
    <w:charset w:val="86"/>
    <w:family w:val="auto"/>
    <w:pitch w:val="default"/>
    <w:sig w:usb0="00000000" w:usb1="00000000" w:usb2="00000000" w:usb3="00000000" w:csb0="00000000" w:csb1="00000000"/>
  </w:font>
  <w:font w:name="等线">
    <w:altName w:val="URW Bookman"/>
    <w:panose1 w:val="00000000000000000000"/>
    <w:charset w:val="00"/>
    <w:family w:val="auto"/>
    <w:pitch w:val="default"/>
    <w:sig w:usb0="00000000" w:usb1="00000000" w:usb2="00000000" w:usb3="00000000" w:csb0="00000000" w:csb1="00000000"/>
  </w:font>
  <w:font w:name="等线 Light">
    <w:altName w:val="华文仿宋"/>
    <w:panose1 w:val="02010600030101010101"/>
    <w:charset w:val="86"/>
    <w:family w:val="auto"/>
    <w:pitch w:val="default"/>
    <w:sig w:usb0="00000000" w:usb1="00000000" w:usb2="00000016" w:usb3="00000000" w:csb0="0004000F" w:csb1="00000000"/>
  </w:font>
  <w:font w:name="方正仿宋_GBK">
    <w:panose1 w:val="02000000000000000000"/>
    <w:charset w:val="86"/>
    <w:family w:val="script"/>
    <w:pitch w:val="default"/>
    <w:sig w:usb0="00000001" w:usb1="08000000" w:usb2="00000000" w:usb3="00000000" w:csb0="00040000" w:csb1="00000000"/>
  </w:font>
  <w:font w:name="Verdana">
    <w:altName w:val="Ubuntu"/>
    <w:panose1 w:val="020B0604030504040204"/>
    <w:charset w:val="00"/>
    <w:family w:val="swiss"/>
    <w:pitch w:val="default"/>
    <w:sig w:usb0="00000000" w:usb1="00000000" w:usb2="00000010" w:usb3="00000000" w:csb0="2000019F" w:csb1="00000000"/>
  </w:font>
  <w:font w:name="方正黑体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auto"/>
    <w:pitch w:val="default"/>
    <w:sig w:usb0="00000001" w:usb1="080E0000" w:usb2="00000000" w:usb3="00000000" w:csb0="00040000" w:csb1="00000000"/>
  </w:font>
  <w:font w:name="URW Bookman">
    <w:panose1 w:val="00000400000000000000"/>
    <w:charset w:val="00"/>
    <w:family w:val="auto"/>
    <w:pitch w:val="default"/>
    <w:sig w:usb0="00000287" w:usb1="00000800" w:usb2="00000000" w:usb3="00000000" w:csb0="6000009F" w:csb1="00000000"/>
  </w:font>
  <w:font w:name="DejaVu Sans">
    <w:panose1 w:val="020B0603030804020204"/>
    <w:charset w:val="00"/>
    <w:family w:val="auto"/>
    <w:pitch w:val="default"/>
    <w:sig w:usb0="E7006EFF" w:usb1="D200FDFF" w:usb2="0A246029" w:usb3="0400200C" w:csb0="600001FF" w:csb1="DFFF0000"/>
  </w:font>
  <w:font w:name="Liberation Serif">
    <w:panose1 w:val="02020603050405020304"/>
    <w:charset w:val="00"/>
    <w:family w:val="auto"/>
    <w:pitch w:val="default"/>
    <w:sig w:usb0="A00002AF" w:usb1="500078FB" w:usb2="00000000" w:usb3="00000000" w:csb0="6000009F" w:csb1="DFD70000"/>
  </w:font>
  <w:font w:name="等线 Light">
    <w:altName w:val="URW Bookman"/>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73220878"/>
      <w:docPartObj>
        <w:docPartGallery w:val="autotext"/>
      </w:docPartObj>
    </w:sdtPr>
    <w:sdtContent>
      <w:p>
        <w:pPr>
          <w:pStyle w:val="10"/>
          <w:jc w:val="center"/>
        </w:pPr>
        <w:r>
          <w:fldChar w:fldCharType="begin"/>
        </w:r>
        <w:r>
          <w:instrText xml:space="preserve">PAGE   \* MERGEFORMAT</w:instrText>
        </w:r>
        <w:r>
          <w:fldChar w:fldCharType="separate"/>
        </w:r>
        <w:r>
          <w:rPr>
            <w:lang w:val="zh-CN"/>
          </w:rPr>
          <w:t>4</w:t>
        </w:r>
        <w:r>
          <w:fldChar w:fldCharType="end"/>
        </w:r>
      </w:p>
    </w:sdtContent>
  </w:sdt>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01652926"/>
      <w:docPartObj>
        <w:docPartGallery w:val="autotext"/>
      </w:docPartObj>
    </w:sdtPr>
    <w:sdtEndPr>
      <w:rPr>
        <w:rFonts w:asciiTheme="minorEastAsia" w:hAnsiTheme="minorEastAsia"/>
        <w:sz w:val="21"/>
        <w:szCs w:val="21"/>
      </w:rPr>
    </w:sdtEndPr>
    <w:sdtContent>
      <w:p>
        <w:pPr>
          <w:pStyle w:val="10"/>
          <w:jc w:val="center"/>
          <w:rPr>
            <w:rFonts w:asciiTheme="minorEastAsia" w:hAnsiTheme="minorEastAsia"/>
            <w:sz w:val="21"/>
            <w:szCs w:val="21"/>
          </w:rPr>
        </w:pPr>
        <w:r>
          <w:rPr>
            <w:rFonts w:asciiTheme="minorEastAsia" w:hAnsiTheme="minorEastAsia"/>
            <w:sz w:val="21"/>
            <w:szCs w:val="21"/>
          </w:rPr>
          <w:fldChar w:fldCharType="begin"/>
        </w:r>
        <w:r>
          <w:rPr>
            <w:rFonts w:asciiTheme="minorEastAsia" w:hAnsiTheme="minorEastAsia"/>
            <w:sz w:val="21"/>
            <w:szCs w:val="21"/>
          </w:rPr>
          <w:instrText xml:space="preserve">PAGE   \* MERGEFORMAT</w:instrText>
        </w:r>
        <w:r>
          <w:rPr>
            <w:rFonts w:asciiTheme="minorEastAsia" w:hAnsiTheme="minorEastAsia"/>
            <w:sz w:val="21"/>
            <w:szCs w:val="21"/>
          </w:rPr>
          <w:fldChar w:fldCharType="separate"/>
        </w:r>
        <w:r>
          <w:rPr>
            <w:rFonts w:asciiTheme="minorEastAsia" w:hAnsiTheme="minorEastAsia"/>
            <w:sz w:val="21"/>
            <w:szCs w:val="21"/>
            <w:lang w:val="zh-CN"/>
          </w:rPr>
          <w:t>1</w:t>
        </w:r>
        <w:r>
          <w:rPr>
            <w:rFonts w:asciiTheme="minorEastAsia" w:hAnsiTheme="minorEastAsia"/>
            <w:sz w:val="21"/>
            <w:szCs w:val="21"/>
          </w:rPr>
          <w:fldChar w:fldCharType="end"/>
        </w:r>
      </w:p>
    </w:sdtContent>
  </w:sdt>
  <w:p>
    <w:pPr>
      <w:pStyle w:val="1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true"/>
  <w:bordersDoNotSurroundFooter w:val="true"/>
  <w:trackRevisions w:val="true"/>
  <w:documentProtection w:enforcement="0"/>
  <w:defaultTabStop w:val="420"/>
  <w:drawingGridHorizontalSpacing w:val="105"/>
  <w:drawingGridVerticalSpacing w:val="156"/>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c0YWE0M2I5OWU1Yzc3YTQ5YmNkMGZkOThlODkyMjEifQ=="/>
  </w:docVars>
  <w:rsids>
    <w:rsidRoot w:val="00A41780"/>
    <w:rsid w:val="00030D4C"/>
    <w:rsid w:val="0003143A"/>
    <w:rsid w:val="000438F6"/>
    <w:rsid w:val="000578BC"/>
    <w:rsid w:val="00061D86"/>
    <w:rsid w:val="00070304"/>
    <w:rsid w:val="000968C3"/>
    <w:rsid w:val="000968DF"/>
    <w:rsid w:val="000B06A8"/>
    <w:rsid w:val="000D73AE"/>
    <w:rsid w:val="0014064E"/>
    <w:rsid w:val="001524EA"/>
    <w:rsid w:val="00175C5D"/>
    <w:rsid w:val="00180ECC"/>
    <w:rsid w:val="0019526F"/>
    <w:rsid w:val="001A3219"/>
    <w:rsid w:val="001C10A8"/>
    <w:rsid w:val="001F4D96"/>
    <w:rsid w:val="00211190"/>
    <w:rsid w:val="00221D36"/>
    <w:rsid w:val="00224E7D"/>
    <w:rsid w:val="0022738C"/>
    <w:rsid w:val="002444E5"/>
    <w:rsid w:val="00263656"/>
    <w:rsid w:val="00286EC5"/>
    <w:rsid w:val="00290019"/>
    <w:rsid w:val="002B2539"/>
    <w:rsid w:val="002E1186"/>
    <w:rsid w:val="002E6C4E"/>
    <w:rsid w:val="003109E9"/>
    <w:rsid w:val="00317E3F"/>
    <w:rsid w:val="003301C1"/>
    <w:rsid w:val="00372A4B"/>
    <w:rsid w:val="003848DF"/>
    <w:rsid w:val="003B1F21"/>
    <w:rsid w:val="004365EB"/>
    <w:rsid w:val="00474E1C"/>
    <w:rsid w:val="004959D7"/>
    <w:rsid w:val="004B1F1C"/>
    <w:rsid w:val="004D1F58"/>
    <w:rsid w:val="004D4AA8"/>
    <w:rsid w:val="004E15FF"/>
    <w:rsid w:val="004E7EE5"/>
    <w:rsid w:val="0050572D"/>
    <w:rsid w:val="00517ECC"/>
    <w:rsid w:val="0052377A"/>
    <w:rsid w:val="00524239"/>
    <w:rsid w:val="00546F5E"/>
    <w:rsid w:val="005531FC"/>
    <w:rsid w:val="00561D95"/>
    <w:rsid w:val="005672CB"/>
    <w:rsid w:val="005852C3"/>
    <w:rsid w:val="0059023C"/>
    <w:rsid w:val="005D3A4D"/>
    <w:rsid w:val="005F560F"/>
    <w:rsid w:val="00601D40"/>
    <w:rsid w:val="00605335"/>
    <w:rsid w:val="00647ED8"/>
    <w:rsid w:val="00660C99"/>
    <w:rsid w:val="00674C27"/>
    <w:rsid w:val="00697886"/>
    <w:rsid w:val="006B23C6"/>
    <w:rsid w:val="006C4B53"/>
    <w:rsid w:val="006D487C"/>
    <w:rsid w:val="006E1EB4"/>
    <w:rsid w:val="006F6DD3"/>
    <w:rsid w:val="007163B3"/>
    <w:rsid w:val="007268F3"/>
    <w:rsid w:val="00734AD9"/>
    <w:rsid w:val="007523F8"/>
    <w:rsid w:val="00753CDE"/>
    <w:rsid w:val="007574CE"/>
    <w:rsid w:val="0077151B"/>
    <w:rsid w:val="007A6004"/>
    <w:rsid w:val="008139DA"/>
    <w:rsid w:val="008177FB"/>
    <w:rsid w:val="008A5264"/>
    <w:rsid w:val="008C0EA0"/>
    <w:rsid w:val="008C1C11"/>
    <w:rsid w:val="008E53DE"/>
    <w:rsid w:val="008F1DCF"/>
    <w:rsid w:val="008F54C7"/>
    <w:rsid w:val="00942148"/>
    <w:rsid w:val="00954276"/>
    <w:rsid w:val="00954A96"/>
    <w:rsid w:val="009976D2"/>
    <w:rsid w:val="009B0F5A"/>
    <w:rsid w:val="009B393B"/>
    <w:rsid w:val="009D4027"/>
    <w:rsid w:val="009D62D3"/>
    <w:rsid w:val="009F0420"/>
    <w:rsid w:val="00A36F14"/>
    <w:rsid w:val="00A41780"/>
    <w:rsid w:val="00A45880"/>
    <w:rsid w:val="00A718CF"/>
    <w:rsid w:val="00A80D17"/>
    <w:rsid w:val="00AD3BA3"/>
    <w:rsid w:val="00B001AC"/>
    <w:rsid w:val="00B204CF"/>
    <w:rsid w:val="00B44ACE"/>
    <w:rsid w:val="00B4774C"/>
    <w:rsid w:val="00B55474"/>
    <w:rsid w:val="00B56781"/>
    <w:rsid w:val="00B60F22"/>
    <w:rsid w:val="00BA3AFC"/>
    <w:rsid w:val="00BC516F"/>
    <w:rsid w:val="00BC5D8B"/>
    <w:rsid w:val="00BD319F"/>
    <w:rsid w:val="00C2057A"/>
    <w:rsid w:val="00C34C59"/>
    <w:rsid w:val="00C83F8F"/>
    <w:rsid w:val="00C93154"/>
    <w:rsid w:val="00C97BD2"/>
    <w:rsid w:val="00CA1F4C"/>
    <w:rsid w:val="00CB5E22"/>
    <w:rsid w:val="00CD3C77"/>
    <w:rsid w:val="00CD5858"/>
    <w:rsid w:val="00D270B7"/>
    <w:rsid w:val="00D34D3B"/>
    <w:rsid w:val="00D524C4"/>
    <w:rsid w:val="00DB770B"/>
    <w:rsid w:val="00DD73C0"/>
    <w:rsid w:val="00E06652"/>
    <w:rsid w:val="00E06E6F"/>
    <w:rsid w:val="00E57B31"/>
    <w:rsid w:val="00E67AEF"/>
    <w:rsid w:val="00E67E8C"/>
    <w:rsid w:val="00E847DA"/>
    <w:rsid w:val="00E90212"/>
    <w:rsid w:val="00E936EC"/>
    <w:rsid w:val="00EB0E42"/>
    <w:rsid w:val="00EB234C"/>
    <w:rsid w:val="00EB2CEF"/>
    <w:rsid w:val="00EB4721"/>
    <w:rsid w:val="00ED07D7"/>
    <w:rsid w:val="00ED40C1"/>
    <w:rsid w:val="00EF66F1"/>
    <w:rsid w:val="00EF73FF"/>
    <w:rsid w:val="00F2252B"/>
    <w:rsid w:val="00F23DE1"/>
    <w:rsid w:val="00F400D8"/>
    <w:rsid w:val="00F45797"/>
    <w:rsid w:val="00F638B5"/>
    <w:rsid w:val="00F87235"/>
    <w:rsid w:val="00FC128C"/>
    <w:rsid w:val="33FB81D4"/>
    <w:rsid w:val="35F87C9F"/>
    <w:rsid w:val="376FAEAE"/>
    <w:rsid w:val="37CE501F"/>
    <w:rsid w:val="3BBFEB20"/>
    <w:rsid w:val="3DF970FF"/>
    <w:rsid w:val="3F0F00CE"/>
    <w:rsid w:val="44862955"/>
    <w:rsid w:val="45BB5620"/>
    <w:rsid w:val="45D25BA7"/>
    <w:rsid w:val="473236C0"/>
    <w:rsid w:val="47F48E29"/>
    <w:rsid w:val="4D9C5CDA"/>
    <w:rsid w:val="53332C9A"/>
    <w:rsid w:val="53BFAFA5"/>
    <w:rsid w:val="58001017"/>
    <w:rsid w:val="580B7C81"/>
    <w:rsid w:val="59CD6734"/>
    <w:rsid w:val="5FBDEDAC"/>
    <w:rsid w:val="666F000A"/>
    <w:rsid w:val="66E17055"/>
    <w:rsid w:val="6C9B5C53"/>
    <w:rsid w:val="6FEF9FF1"/>
    <w:rsid w:val="7353133B"/>
    <w:rsid w:val="737ED3EA"/>
    <w:rsid w:val="7BFFDBDB"/>
    <w:rsid w:val="7DFF8769"/>
    <w:rsid w:val="7EFFA1B3"/>
    <w:rsid w:val="7FEE2C2B"/>
    <w:rsid w:val="7FFE70A1"/>
    <w:rsid w:val="9AEF5308"/>
    <w:rsid w:val="9FFF21B2"/>
    <w:rsid w:val="BFFFFB59"/>
    <w:rsid w:val="D737659B"/>
    <w:rsid w:val="DFE2E254"/>
    <w:rsid w:val="DFFB7A56"/>
    <w:rsid w:val="FA7F7FAD"/>
    <w:rsid w:val="FB9F27EC"/>
    <w:rsid w:val="FE5F8523"/>
    <w:rsid w:val="FF378DC8"/>
    <w:rsid w:val="FF7FB7EB"/>
    <w:rsid w:val="FFF646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qFormat="1" w:unhideWhenUsed="0" w:uiPriority="0" w:semiHidden="0"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14:ligatures w14:val="standardContextual"/>
    </w:rPr>
  </w:style>
  <w:style w:type="paragraph" w:styleId="3">
    <w:name w:val="heading 1"/>
    <w:basedOn w:val="1"/>
    <w:next w:val="1"/>
    <w:link w:val="28"/>
    <w:qFormat/>
    <w:uiPriority w:val="9"/>
    <w:pPr>
      <w:keepNext/>
      <w:keepLines/>
      <w:spacing w:before="340" w:after="330" w:line="578" w:lineRule="auto"/>
      <w:outlineLvl w:val="0"/>
    </w:pPr>
    <w:rPr>
      <w:b/>
      <w:bCs/>
      <w:kern w:val="44"/>
      <w:sz w:val="44"/>
      <w:szCs w:val="44"/>
    </w:rPr>
  </w:style>
  <w:style w:type="paragraph" w:styleId="4">
    <w:name w:val="heading 2"/>
    <w:basedOn w:val="1"/>
    <w:next w:val="1"/>
    <w:link w:val="27"/>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paragraph" w:styleId="2">
    <w:name w:val="heading 3"/>
    <w:basedOn w:val="1"/>
    <w:next w:val="1"/>
    <w:semiHidden/>
    <w:unhideWhenUsed/>
    <w:qFormat/>
    <w:uiPriority w:val="9"/>
    <w:pPr>
      <w:keepNext/>
      <w:keepLines/>
      <w:spacing w:before="260" w:after="260" w:line="416" w:lineRule="auto"/>
      <w:outlineLvl w:val="2"/>
    </w:pPr>
    <w:rPr>
      <w:b/>
      <w:bCs/>
      <w:sz w:val="32"/>
      <w:szCs w:val="32"/>
    </w:rPr>
  </w:style>
  <w:style w:type="character" w:default="1" w:styleId="16">
    <w:name w:val="Default Paragraph Font"/>
    <w:semiHidden/>
    <w:unhideWhenUsed/>
    <w:qFormat/>
    <w:uiPriority w:val="1"/>
  </w:style>
  <w:style w:type="table" w:default="1" w:styleId="15">
    <w:name w:val="Normal Table"/>
    <w:semiHidden/>
    <w:unhideWhenUsed/>
    <w:qFormat/>
    <w:uiPriority w:val="99"/>
    <w:tblPr>
      <w:tblCellMar>
        <w:top w:w="0" w:type="dxa"/>
        <w:left w:w="108" w:type="dxa"/>
        <w:bottom w:w="0" w:type="dxa"/>
        <w:right w:w="108" w:type="dxa"/>
      </w:tblCellMar>
    </w:tblPr>
  </w:style>
  <w:style w:type="paragraph" w:styleId="5">
    <w:name w:val="caption"/>
    <w:basedOn w:val="1"/>
    <w:next w:val="1"/>
    <w:link w:val="30"/>
    <w:qFormat/>
    <w:uiPriority w:val="0"/>
    <w:rPr>
      <w:rFonts w:ascii="Arial" w:hAnsi="Arial" w:eastAsia="黑体" w:cs="Arial"/>
      <w:sz w:val="20"/>
      <w:szCs w:val="20"/>
    </w:rPr>
  </w:style>
  <w:style w:type="paragraph" w:styleId="6">
    <w:name w:val="annotation text"/>
    <w:basedOn w:val="1"/>
    <w:link w:val="31"/>
    <w:qFormat/>
    <w:uiPriority w:val="0"/>
    <w:pPr>
      <w:jc w:val="left"/>
    </w:pPr>
    <w:rPr>
      <w:szCs w:val="24"/>
    </w:rPr>
  </w:style>
  <w:style w:type="paragraph" w:styleId="7">
    <w:name w:val="toc 3"/>
    <w:basedOn w:val="1"/>
    <w:next w:val="1"/>
    <w:unhideWhenUsed/>
    <w:qFormat/>
    <w:uiPriority w:val="39"/>
    <w:pPr>
      <w:widowControl/>
      <w:spacing w:after="100" w:line="259" w:lineRule="auto"/>
      <w:ind w:left="440"/>
      <w:jc w:val="left"/>
    </w:pPr>
    <w:rPr>
      <w:rFonts w:cs="Times New Roman"/>
      <w:kern w:val="0"/>
      <w:sz w:val="22"/>
      <w14:ligatures w14:val="none"/>
    </w:rPr>
  </w:style>
  <w:style w:type="paragraph" w:styleId="8">
    <w:name w:val="Date"/>
    <w:basedOn w:val="1"/>
    <w:next w:val="1"/>
    <w:link w:val="26"/>
    <w:semiHidden/>
    <w:unhideWhenUsed/>
    <w:qFormat/>
    <w:uiPriority w:val="99"/>
    <w:pPr>
      <w:ind w:left="100" w:leftChars="2500"/>
    </w:pPr>
  </w:style>
  <w:style w:type="paragraph" w:styleId="9">
    <w:name w:val="Balloon Text"/>
    <w:basedOn w:val="1"/>
    <w:link w:val="32"/>
    <w:semiHidden/>
    <w:unhideWhenUsed/>
    <w:qFormat/>
    <w:uiPriority w:val="99"/>
    <w:rPr>
      <w:sz w:val="18"/>
      <w:szCs w:val="18"/>
    </w:rPr>
  </w:style>
  <w:style w:type="paragraph" w:styleId="10">
    <w:name w:val="footer"/>
    <w:basedOn w:val="1"/>
    <w:link w:val="23"/>
    <w:unhideWhenUsed/>
    <w:qFormat/>
    <w:uiPriority w:val="99"/>
    <w:pPr>
      <w:tabs>
        <w:tab w:val="center" w:pos="4153"/>
        <w:tab w:val="right" w:pos="8306"/>
      </w:tabs>
      <w:snapToGrid w:val="0"/>
      <w:jc w:val="left"/>
    </w:pPr>
    <w:rPr>
      <w:sz w:val="18"/>
      <w:szCs w:val="18"/>
    </w:rPr>
  </w:style>
  <w:style w:type="paragraph" w:styleId="11">
    <w:name w:val="header"/>
    <w:basedOn w:val="1"/>
    <w:link w:val="22"/>
    <w:unhideWhenUsed/>
    <w:qFormat/>
    <w:uiPriority w:val="99"/>
    <w:pPr>
      <w:tabs>
        <w:tab w:val="center" w:pos="4153"/>
        <w:tab w:val="right" w:pos="8306"/>
      </w:tabs>
      <w:snapToGrid w:val="0"/>
      <w:jc w:val="center"/>
    </w:pPr>
    <w:rPr>
      <w:sz w:val="18"/>
      <w:szCs w:val="18"/>
    </w:rPr>
  </w:style>
  <w:style w:type="paragraph" w:styleId="12">
    <w:name w:val="toc 1"/>
    <w:basedOn w:val="1"/>
    <w:next w:val="1"/>
    <w:unhideWhenUsed/>
    <w:qFormat/>
    <w:uiPriority w:val="39"/>
    <w:pPr>
      <w:widowControl/>
      <w:spacing w:after="100" w:line="259" w:lineRule="auto"/>
      <w:jc w:val="left"/>
    </w:pPr>
    <w:rPr>
      <w:rFonts w:cs="Times New Roman"/>
      <w:kern w:val="0"/>
      <w:sz w:val="22"/>
      <w14:ligatures w14:val="none"/>
    </w:rPr>
  </w:style>
  <w:style w:type="paragraph" w:styleId="13">
    <w:name w:val="toc 2"/>
    <w:basedOn w:val="1"/>
    <w:next w:val="1"/>
    <w:unhideWhenUsed/>
    <w:qFormat/>
    <w:uiPriority w:val="39"/>
    <w:pPr>
      <w:widowControl/>
      <w:spacing w:after="100" w:line="259" w:lineRule="auto"/>
      <w:ind w:left="220"/>
      <w:jc w:val="left"/>
    </w:pPr>
    <w:rPr>
      <w:rFonts w:cs="Times New Roman"/>
      <w:kern w:val="0"/>
      <w:sz w:val="22"/>
      <w14:ligatures w14:val="none"/>
    </w:rPr>
  </w:style>
  <w:style w:type="paragraph" w:styleId="14">
    <w:name w:val="annotation subject"/>
    <w:basedOn w:val="6"/>
    <w:next w:val="6"/>
    <w:link w:val="33"/>
    <w:semiHidden/>
    <w:unhideWhenUsed/>
    <w:qFormat/>
    <w:uiPriority w:val="99"/>
    <w:rPr>
      <w:b/>
      <w:bCs/>
      <w:szCs w:val="22"/>
    </w:rPr>
  </w:style>
  <w:style w:type="character" w:styleId="17">
    <w:name w:val="Emphasis"/>
    <w:basedOn w:val="16"/>
    <w:qFormat/>
    <w:uiPriority w:val="20"/>
    <w:rPr>
      <w:i/>
      <w:iCs/>
    </w:rPr>
  </w:style>
  <w:style w:type="character" w:styleId="18">
    <w:name w:val="HTML Typewriter"/>
    <w:qFormat/>
    <w:uiPriority w:val="0"/>
    <w:rPr>
      <w:rFonts w:ascii="黑体" w:hAnsi="Courier New" w:eastAsia="黑体" w:cs="Courier New"/>
      <w:sz w:val="18"/>
      <w:szCs w:val="18"/>
    </w:rPr>
  </w:style>
  <w:style w:type="character" w:styleId="19">
    <w:name w:val="Hyperlink"/>
    <w:basedOn w:val="16"/>
    <w:semiHidden/>
    <w:unhideWhenUsed/>
    <w:qFormat/>
    <w:uiPriority w:val="99"/>
    <w:rPr>
      <w:color w:val="0000FF"/>
      <w:u w:val="single"/>
    </w:rPr>
  </w:style>
  <w:style w:type="character" w:styleId="20">
    <w:name w:val="annotation reference"/>
    <w:basedOn w:val="16"/>
    <w:qFormat/>
    <w:uiPriority w:val="0"/>
    <w:rPr>
      <w:sz w:val="21"/>
      <w:szCs w:val="21"/>
    </w:rPr>
  </w:style>
  <w:style w:type="paragraph" w:customStyle="1" w:styleId="21">
    <w:name w:val="_Style 5"/>
    <w:basedOn w:val="1"/>
    <w:next w:val="1"/>
    <w:qFormat/>
    <w:uiPriority w:val="39"/>
    <w:pPr>
      <w:tabs>
        <w:tab w:val="left" w:pos="1050"/>
        <w:tab w:val="right" w:leader="dot" w:pos="8019"/>
      </w:tabs>
      <w:spacing w:line="400" w:lineRule="exact"/>
      <w:ind w:left="420" w:leftChars="200"/>
      <w:jc w:val="left"/>
    </w:pPr>
    <w:rPr>
      <w:rFonts w:ascii="Times New Roman" w:hAnsi="Times New Roman" w:eastAsia="宋体" w:cs="Times New Roman"/>
      <w:szCs w:val="21"/>
    </w:rPr>
  </w:style>
  <w:style w:type="character" w:customStyle="1" w:styleId="22">
    <w:name w:val="页眉 字符"/>
    <w:basedOn w:val="16"/>
    <w:link w:val="11"/>
    <w:qFormat/>
    <w:uiPriority w:val="99"/>
    <w:rPr>
      <w:sz w:val="18"/>
      <w:szCs w:val="18"/>
    </w:rPr>
  </w:style>
  <w:style w:type="character" w:customStyle="1" w:styleId="23">
    <w:name w:val="页脚 字符"/>
    <w:basedOn w:val="16"/>
    <w:link w:val="10"/>
    <w:qFormat/>
    <w:uiPriority w:val="99"/>
    <w:rPr>
      <w:sz w:val="18"/>
      <w:szCs w:val="18"/>
    </w:rPr>
  </w:style>
  <w:style w:type="paragraph" w:styleId="24">
    <w:name w:val="No Spacing"/>
    <w:link w:val="25"/>
    <w:qFormat/>
    <w:uiPriority w:val="1"/>
    <w:rPr>
      <w:rFonts w:asciiTheme="minorHAnsi" w:hAnsiTheme="minorHAnsi" w:eastAsiaTheme="minorEastAsia" w:cstheme="minorBidi"/>
      <w:sz w:val="22"/>
      <w:szCs w:val="22"/>
      <w:lang w:val="en-US" w:eastAsia="zh-CN" w:bidi="ar-SA"/>
      <w14:ligatures w14:val="standardContextual"/>
    </w:rPr>
  </w:style>
  <w:style w:type="character" w:customStyle="1" w:styleId="25">
    <w:name w:val="无间隔 字符"/>
    <w:basedOn w:val="16"/>
    <w:link w:val="24"/>
    <w:qFormat/>
    <w:uiPriority w:val="1"/>
    <w:rPr>
      <w:kern w:val="0"/>
      <w:sz w:val="22"/>
    </w:rPr>
  </w:style>
  <w:style w:type="character" w:customStyle="1" w:styleId="26">
    <w:name w:val="日期 字符"/>
    <w:basedOn w:val="16"/>
    <w:link w:val="8"/>
    <w:semiHidden/>
    <w:qFormat/>
    <w:uiPriority w:val="99"/>
  </w:style>
  <w:style w:type="character" w:customStyle="1" w:styleId="27">
    <w:name w:val="标题 2 字符"/>
    <w:basedOn w:val="16"/>
    <w:link w:val="4"/>
    <w:qFormat/>
    <w:uiPriority w:val="9"/>
    <w:rPr>
      <w:rFonts w:asciiTheme="majorHAnsi" w:hAnsiTheme="majorHAnsi" w:eastAsiaTheme="majorEastAsia" w:cstheme="majorBidi"/>
      <w:b/>
      <w:bCs/>
      <w:sz w:val="32"/>
      <w:szCs w:val="32"/>
    </w:rPr>
  </w:style>
  <w:style w:type="character" w:customStyle="1" w:styleId="28">
    <w:name w:val="标题 1 字符"/>
    <w:basedOn w:val="16"/>
    <w:link w:val="3"/>
    <w:qFormat/>
    <w:uiPriority w:val="9"/>
    <w:rPr>
      <w:b/>
      <w:bCs/>
      <w:kern w:val="44"/>
      <w:sz w:val="44"/>
      <w:szCs w:val="44"/>
    </w:rPr>
  </w:style>
  <w:style w:type="paragraph" w:styleId="29">
    <w:name w:val="List Paragraph"/>
    <w:basedOn w:val="1"/>
    <w:qFormat/>
    <w:uiPriority w:val="34"/>
    <w:pPr>
      <w:ind w:firstLine="420" w:firstLineChars="200"/>
    </w:pPr>
  </w:style>
  <w:style w:type="character" w:customStyle="1" w:styleId="30">
    <w:name w:val="题注 字符"/>
    <w:link w:val="5"/>
    <w:qFormat/>
    <w:uiPriority w:val="0"/>
    <w:rPr>
      <w:rFonts w:ascii="Arial" w:hAnsi="Arial" w:eastAsia="黑体" w:cs="Arial"/>
      <w:sz w:val="20"/>
      <w:szCs w:val="20"/>
    </w:rPr>
  </w:style>
  <w:style w:type="character" w:customStyle="1" w:styleId="31">
    <w:name w:val="批注文字 字符"/>
    <w:basedOn w:val="16"/>
    <w:link w:val="6"/>
    <w:qFormat/>
    <w:uiPriority w:val="0"/>
    <w:rPr>
      <w:szCs w:val="24"/>
    </w:rPr>
  </w:style>
  <w:style w:type="character" w:customStyle="1" w:styleId="32">
    <w:name w:val="批注框文本 字符"/>
    <w:basedOn w:val="16"/>
    <w:link w:val="9"/>
    <w:semiHidden/>
    <w:qFormat/>
    <w:uiPriority w:val="99"/>
    <w:rPr>
      <w:sz w:val="18"/>
      <w:szCs w:val="18"/>
    </w:rPr>
  </w:style>
  <w:style w:type="character" w:customStyle="1" w:styleId="33">
    <w:name w:val="批注主题 字符"/>
    <w:basedOn w:val="31"/>
    <w:link w:val="14"/>
    <w:semiHidden/>
    <w:qFormat/>
    <w:uiPriority w:val="99"/>
    <w:rPr>
      <w:b/>
      <w:bCs/>
      <w:szCs w:val="24"/>
    </w:rPr>
  </w:style>
  <w:style w:type="character" w:customStyle="1" w:styleId="34">
    <w:name w:val="content-right_2s-h4"/>
    <w:basedOn w:val="16"/>
    <w:qFormat/>
    <w:uiPriority w:val="0"/>
  </w:style>
  <w:style w:type="paragraph" w:customStyle="1" w:styleId="35">
    <w:name w:val="TOC 标题1"/>
    <w:basedOn w:val="3"/>
    <w:next w:val="1"/>
    <w:unhideWhenUsed/>
    <w:qFormat/>
    <w:uiPriority w:val="39"/>
    <w:pPr>
      <w:widowControl/>
      <w:spacing w:before="240" w:after="0" w:line="259" w:lineRule="auto"/>
      <w:jc w:val="left"/>
      <w:outlineLvl w:val="9"/>
    </w:pPr>
    <w:rPr>
      <w:rFonts w:asciiTheme="majorHAnsi" w:hAnsiTheme="majorHAnsi" w:eastAsiaTheme="majorEastAsia" w:cstheme="majorBidi"/>
      <w:b w:val="0"/>
      <w:bCs w:val="0"/>
      <w:color w:val="2F5597" w:themeColor="accent1" w:themeShade="BF"/>
      <w:kern w:val="0"/>
      <w:sz w:val="32"/>
      <w:szCs w:val="32"/>
      <w14:ligatures w14:val="none"/>
    </w:rPr>
  </w:style>
  <w:style w:type="paragraph" w:customStyle="1" w:styleId="36">
    <w:name w:val="Default"/>
    <w:qFormat/>
    <w:uiPriority w:val="0"/>
    <w:pPr>
      <w:widowControl w:val="0"/>
      <w:autoSpaceDE w:val="0"/>
      <w:autoSpaceDN w:val="0"/>
      <w:adjustRightInd w:val="0"/>
    </w:pPr>
    <w:rPr>
      <w:rFonts w:hint="eastAsia" w:ascii="方正仿宋_GBK" w:hAnsi="方正仿宋_GBK" w:eastAsia="方正仿宋_GBK" w:cs="Times New Roman"/>
      <w:color w:val="000000"/>
      <w:sz w:val="24"/>
      <w:szCs w:val="22"/>
      <w:lang w:val="en-US" w:eastAsia="zh-CN" w:bidi="ar-SA"/>
    </w:rPr>
  </w:style>
  <w:style w:type="paragraph" w:customStyle="1" w:styleId="37">
    <w:name w:val="Char2 Char Char Char Char Char Char Char Char1 Char Char Char Char"/>
    <w:basedOn w:val="1"/>
    <w:qFormat/>
    <w:uiPriority w:val="0"/>
    <w:pPr>
      <w:widowControl/>
      <w:spacing w:after="160" w:line="240" w:lineRule="exact"/>
      <w:jc w:val="left"/>
    </w:pPr>
    <w:rPr>
      <w:rFonts w:ascii="Verdana" w:hAnsi="Verdana" w:eastAsia="宋体" w:cs="Times New Roman"/>
      <w:kern w:val="0"/>
      <w:sz w:val="20"/>
      <w:szCs w:val="24"/>
      <w:lang w:eastAsia="en-US"/>
      <w14:ligatures w14: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1825</Words>
  <Characters>1873</Characters>
  <Lines>13</Lines>
  <Paragraphs>3</Paragraphs>
  <TotalTime>0</TotalTime>
  <ScaleCrop>false</ScaleCrop>
  <LinksUpToDate>false</LinksUpToDate>
  <CharactersWithSpaces>1874</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2024-09-25T17:32:00Z</dcterms:created>
  <dc:creator>jx z</dc:creator>
  <cp:lastModifiedBy>user</cp:lastModifiedBy>
  <dcterms:modified xsi:type="dcterms:W3CDTF">2024-12-12T14:15:49Z</dcterms:modified>
  <dc:title>附件2</dc:title>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0D704CA5B2AE4049AACC1391B7F28CD2_13</vt:lpwstr>
  </property>
</Properties>
</file>