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adjustRightInd w:val="0"/>
        <w:snapToGrid w:val="0"/>
        <w:spacing w:line="560" w:lineRule="exact"/>
        <w:jc w:val="both"/>
        <w:rPr>
          <w:rFonts w:hint="eastAsia" w:ascii="仿宋_GB2312" w:hAnsi="仿宋_GB2312" w:eastAsia="仿宋_GB2312" w:cs="仿宋_GB2312"/>
          <w:sz w:val="32"/>
          <w:szCs w:val="32"/>
          <w:lang w:val="en-US" w:eastAsia="zh-CN"/>
        </w:rPr>
      </w:pPr>
      <w:bookmarkStart w:id="7" w:name="_GoBack"/>
      <w:bookmarkEnd w:id="7"/>
      <w:r>
        <w:rPr>
          <w:rFonts w:hint="eastAsia" w:ascii="仿宋_GB2312" w:hAnsi="仿宋_GB2312" w:eastAsia="仿宋_GB2312" w:cs="仿宋_GB2312"/>
          <w:sz w:val="32"/>
          <w:szCs w:val="32"/>
          <w:lang w:val="en" w:eastAsia="zh-CN"/>
        </w:rPr>
        <w:t>附件</w:t>
      </w:r>
      <w:r>
        <w:rPr>
          <w:rFonts w:hint="eastAsia" w:ascii="仿宋_GB2312" w:hAnsi="仿宋_GB2312" w:eastAsia="仿宋_GB2312" w:cs="仿宋_GB2312"/>
          <w:sz w:val="32"/>
          <w:szCs w:val="32"/>
          <w:lang w:val="en-US" w:eastAsia="zh-CN"/>
        </w:rPr>
        <w:t>2</w:t>
      </w:r>
    </w:p>
    <w:p>
      <w:pPr>
        <w:adjustRightInd w:val="0"/>
        <w:snapToGrid w:val="0"/>
        <w:spacing w:line="560" w:lineRule="exact"/>
        <w:jc w:val="both"/>
        <w:rPr>
          <w:rFonts w:hint="eastAsia" w:ascii="仿宋_GB2312" w:hAnsi="仿宋_GB2312" w:eastAsia="仿宋_GB2312" w:cs="仿宋_GB2312"/>
          <w:sz w:val="32"/>
          <w:szCs w:val="32"/>
          <w:lang w:val="en-US" w:eastAsia="zh-CN"/>
        </w:rPr>
      </w:pPr>
    </w:p>
    <w:p>
      <w:pPr>
        <w:adjustRightInd w:val="0"/>
        <w:snapToGrid w:val="0"/>
        <w:spacing w:line="560" w:lineRule="exact"/>
        <w:jc w:val="center"/>
        <w:rPr>
          <w:rFonts w:eastAsia="方正小标宋简体" w:cs="Times New Roman"/>
          <w:sz w:val="44"/>
          <w:szCs w:val="44"/>
        </w:rPr>
      </w:pPr>
      <w:r>
        <w:rPr>
          <w:rFonts w:hint="eastAsia" w:eastAsia="方正小标宋简体" w:cs="Times New Roman"/>
          <w:sz w:val="44"/>
          <w:szCs w:val="44"/>
        </w:rPr>
        <w:t>起草说明</w:t>
      </w:r>
    </w:p>
    <w:p>
      <w:pPr>
        <w:numPr>
          <w:ilvl w:val="0"/>
          <w:numId w:val="0"/>
        </w:numPr>
        <w:adjustRightInd w:val="0"/>
        <w:snapToGrid w:val="0"/>
        <w:spacing w:after="160" w:line="560" w:lineRule="exact"/>
        <w:rPr>
          <w:rFonts w:hint="eastAsia" w:ascii="黑体" w:hAnsi="黑体" w:eastAsia="黑体" w:cs="黑体"/>
          <w:sz w:val="32"/>
          <w:szCs w:val="32"/>
        </w:rPr>
      </w:pPr>
    </w:p>
    <w:p>
      <w:pPr>
        <w:pStyle w:val="3"/>
        <w:adjustRightInd w:val="0"/>
        <w:snapToGrid w:val="0"/>
        <w:spacing w:before="0" w:after="0" w:line="560" w:lineRule="exact"/>
        <w:ind w:firstLine="640" w:firstLineChars="200"/>
        <w:rPr>
          <w:rFonts w:hint="eastAsia" w:ascii="黑体" w:hAnsi="黑体" w:eastAsia="黑体" w:cs="黑体"/>
          <w:b w:val="0"/>
          <w:bCs w:val="0"/>
        </w:rPr>
      </w:pPr>
      <w:r>
        <w:rPr>
          <w:rFonts w:hint="eastAsia" w:ascii="黑体" w:hAnsi="黑体" w:eastAsia="黑体" w:cs="黑体"/>
          <w:b w:val="0"/>
          <w:bCs w:val="0"/>
        </w:rPr>
        <w:t>一、制定文件的背景</w:t>
      </w:r>
    </w:p>
    <w:p>
      <w:pPr>
        <w:pStyle w:val="3"/>
        <w:adjustRightInd w:val="0"/>
        <w:snapToGrid w:val="0"/>
        <w:spacing w:before="0" w:after="0" w:line="560" w:lineRule="exact"/>
        <w:ind w:firstLine="640" w:firstLineChars="200"/>
        <w:rPr>
          <w:rFonts w:hint="eastAsia" w:ascii="方正楷体_GBK" w:hAnsi="方正楷体_GBK" w:eastAsia="方正楷体_GBK" w:cs="方正楷体_GBK"/>
          <w:b w:val="0"/>
          <w:bCs w:val="0"/>
        </w:rPr>
      </w:pPr>
      <w:r>
        <w:rPr>
          <w:rFonts w:hint="eastAsia" w:ascii="方正楷体_GBK" w:hAnsi="方正楷体_GBK" w:eastAsia="方正楷体_GBK" w:cs="方正楷体_GBK"/>
          <w:b w:val="0"/>
          <w:bCs w:val="0"/>
        </w:rPr>
        <w:t>（一）我市</w:t>
      </w:r>
      <w:r>
        <w:rPr>
          <w:rFonts w:hint="eastAsia" w:ascii="方正楷体_GBK" w:hAnsi="方正楷体_GBK" w:eastAsia="方正楷体_GBK" w:cs="方正楷体_GBK"/>
          <w:b w:val="0"/>
          <w:bCs w:val="0"/>
          <w:lang w:eastAsia="zh-CN"/>
        </w:rPr>
        <w:t>旅游业</w:t>
      </w:r>
      <w:r>
        <w:rPr>
          <w:rFonts w:hint="eastAsia" w:ascii="方正楷体_GBK" w:hAnsi="方正楷体_GBK" w:eastAsia="方正楷体_GBK" w:cs="方正楷体_GBK"/>
          <w:b w:val="0"/>
          <w:bCs w:val="0"/>
        </w:rPr>
        <w:t>发展总体情况</w:t>
      </w:r>
    </w:p>
    <w:p>
      <w:pPr>
        <w:adjustRightInd w:val="0"/>
        <w:snapToGrid w:val="0"/>
        <w:spacing w:line="560" w:lineRule="exact"/>
        <w:ind w:firstLine="640" w:firstLineChars="200"/>
        <w:rPr>
          <w:rFonts w:hint="eastAsia" w:eastAsia="仿宋_GB2312"/>
          <w:sz w:val="32"/>
          <w:szCs w:val="32"/>
          <w:lang w:val="en-US" w:eastAsia="zh-CN"/>
        </w:rPr>
      </w:pPr>
      <w:r>
        <w:rPr>
          <w:rFonts w:hint="eastAsia" w:eastAsia="仿宋_GB2312"/>
          <w:sz w:val="32"/>
          <w:szCs w:val="32"/>
          <w:lang w:eastAsia="zh-CN"/>
        </w:rPr>
        <w:t>近年来，我市积极丰富优质旅游产品供给，加快文旅消费体制升级，着力打造推广城市旅游名片，推动广州粤剧院新址、广州文化馆新馆、广州美术馆新馆投入使用，有效提升了全市文旅服务供给水平，广大群众的文旅获得感和幸福感进一步提升。截至</w:t>
      </w:r>
      <w:r>
        <w:rPr>
          <w:rFonts w:hint="eastAsia" w:eastAsia="仿宋_GB2312"/>
          <w:sz w:val="32"/>
          <w:szCs w:val="32"/>
          <w:lang w:val="en-US" w:eastAsia="zh-CN"/>
        </w:rPr>
        <w:t>2023年，我市A级景区共106家，其中5A级景区2家，4A级景区36家，3A级景区68家；</w:t>
      </w:r>
      <w:r>
        <w:rPr>
          <w:rFonts w:hint="eastAsia" w:eastAsia="仿宋_GB2312"/>
          <w:sz w:val="32"/>
          <w:szCs w:val="32"/>
        </w:rPr>
        <w:t>实行政府定价或政府指导价的景区共</w:t>
      </w:r>
      <w:r>
        <w:rPr>
          <w:rFonts w:hint="eastAsia" w:eastAsia="仿宋_GB2312"/>
          <w:sz w:val="32"/>
          <w:szCs w:val="32"/>
          <w:lang w:val="en-US" w:eastAsia="zh-CN"/>
        </w:rPr>
        <w:t>38</w:t>
      </w:r>
      <w:r>
        <w:rPr>
          <w:rFonts w:eastAsia="仿宋_GB2312"/>
          <w:sz w:val="32"/>
          <w:szCs w:val="32"/>
        </w:rPr>
        <w:t>个，其中</w:t>
      </w:r>
      <w:r>
        <w:rPr>
          <w:rFonts w:hint="eastAsia" w:eastAsia="仿宋_GB2312"/>
          <w:sz w:val="32"/>
          <w:szCs w:val="32"/>
          <w:lang w:eastAsia="zh-CN"/>
        </w:rPr>
        <w:t>省属</w:t>
      </w:r>
      <w:r>
        <w:rPr>
          <w:rFonts w:hint="eastAsia" w:eastAsia="仿宋_GB2312"/>
          <w:sz w:val="32"/>
          <w:szCs w:val="32"/>
          <w:lang w:val="en-US" w:eastAsia="zh-CN"/>
        </w:rPr>
        <w:t>3个，市属</w:t>
      </w:r>
      <w:r>
        <w:rPr>
          <w:rFonts w:hint="eastAsia" w:eastAsia="仿宋_GB2312"/>
          <w:sz w:val="32"/>
          <w:szCs w:val="32"/>
        </w:rPr>
        <w:t>1</w:t>
      </w:r>
      <w:r>
        <w:rPr>
          <w:rFonts w:hint="eastAsia" w:eastAsia="仿宋_GB2312"/>
          <w:sz w:val="32"/>
          <w:szCs w:val="32"/>
          <w:lang w:val="en-US" w:eastAsia="zh-CN"/>
        </w:rPr>
        <w:t>5</w:t>
      </w:r>
      <w:r>
        <w:rPr>
          <w:rFonts w:hint="eastAsia" w:eastAsia="仿宋_GB2312"/>
          <w:sz w:val="32"/>
          <w:szCs w:val="32"/>
        </w:rPr>
        <w:t>个，</w:t>
      </w:r>
      <w:r>
        <w:rPr>
          <w:rFonts w:hint="eastAsia" w:eastAsia="仿宋_GB2312"/>
          <w:sz w:val="32"/>
          <w:szCs w:val="32"/>
          <w:lang w:eastAsia="zh-CN"/>
        </w:rPr>
        <w:t>区属</w:t>
      </w:r>
      <w:r>
        <w:rPr>
          <w:rFonts w:hint="eastAsia" w:eastAsia="仿宋_GB2312"/>
          <w:sz w:val="32"/>
          <w:szCs w:val="32"/>
          <w:lang w:val="en-US" w:eastAsia="zh-CN"/>
        </w:rPr>
        <w:t>20个。2023年，我市接待游客2.34亿人次，同比增长51.8%；文旅消费总额3309.49亿元，同比增长47.4%。2023年，广州入选“中国十大旅游向往之城”，广州市文旅品牌国际传播案例获中国广州类最高奖项“长城奖”。</w:t>
      </w:r>
    </w:p>
    <w:p>
      <w:pPr>
        <w:adjustRightInd w:val="0"/>
        <w:snapToGrid w:val="0"/>
        <w:spacing w:line="560" w:lineRule="exact"/>
        <w:ind w:firstLine="630" w:firstLineChars="300"/>
        <w:rPr>
          <w:rFonts w:hint="eastAsia" w:ascii="方正楷体_GBK" w:hAnsi="方正楷体_GBK" w:eastAsia="方正楷体_GBK" w:cs="方正楷体_GBK"/>
          <w:sz w:val="32"/>
          <w:szCs w:val="32"/>
          <w:lang w:eastAsia="zh-CN"/>
        </w:rPr>
      </w:pPr>
      <w:r>
        <w:rPr>
          <w:rFonts w:hint="eastAsia" w:ascii="方正楷体_GBK" w:hAnsi="方正楷体_GBK" w:eastAsia="方正楷体_GBK" w:cs="方正楷体_GBK"/>
        </w:rPr>
        <w:t xml:space="preserve"> </w:t>
      </w:r>
      <w:r>
        <w:rPr>
          <w:rFonts w:hint="eastAsia" w:ascii="方正楷体_GBK" w:hAnsi="方正楷体_GBK" w:eastAsia="方正楷体_GBK" w:cs="方正楷体_GBK"/>
          <w:sz w:val="32"/>
          <w:szCs w:val="32"/>
        </w:rPr>
        <w:t>(二）</w:t>
      </w:r>
      <w:r>
        <w:rPr>
          <w:rFonts w:hint="eastAsia" w:ascii="方正楷体_GBK" w:hAnsi="方正楷体_GBK" w:eastAsia="方正楷体_GBK" w:cs="方正楷体_GBK"/>
          <w:sz w:val="32"/>
          <w:szCs w:val="32"/>
          <w:lang w:eastAsia="zh-CN"/>
        </w:rPr>
        <w:t>景区门票价格管理政策要求</w:t>
      </w:r>
    </w:p>
    <w:p>
      <w:pPr>
        <w:spacing w:line="560" w:lineRule="exact"/>
        <w:ind w:firstLine="640" w:firstLineChars="200"/>
        <w:rPr>
          <w:rFonts w:eastAsia="仿宋_GB2312"/>
          <w:sz w:val="32"/>
          <w:szCs w:val="32"/>
        </w:rPr>
      </w:pPr>
      <w:r>
        <w:rPr>
          <w:rFonts w:hint="eastAsia" w:ascii="Times New Roman" w:hAnsi="Times New Roman" w:eastAsia="仿宋_GB2312" w:cs="Times New Roman"/>
          <w:sz w:val="32"/>
          <w:szCs w:val="32"/>
          <w:lang w:val="en-US" w:eastAsia="zh-CN"/>
        </w:rPr>
        <w:t>近年来，国家陆续出台关于做好景区价格管理工作的指导意见，省发展改革委于2024年11月印发《广东省景</w:t>
      </w:r>
      <w:r>
        <w:rPr>
          <w:rFonts w:hint="eastAsia" w:eastAsia="仿宋_GB2312" w:cs="Times New Roman"/>
          <w:sz w:val="32"/>
          <w:szCs w:val="32"/>
          <w:lang w:val="en-US" w:eastAsia="zh-CN"/>
        </w:rPr>
        <w:t>区门票及景区内交通运输服务价格管理办法》，对规范全省景区门票价格管理工作提出具体要求。同时，为进一步</w:t>
      </w:r>
      <w:r>
        <w:rPr>
          <w:rFonts w:hint="eastAsia" w:ascii="Times New Roman" w:hAnsi="Times New Roman" w:eastAsia="仿宋_GB2312" w:cs="Times New Roman"/>
          <w:sz w:val="32"/>
          <w:szCs w:val="32"/>
          <w:lang w:eastAsia="zh-CN"/>
        </w:rPr>
        <w:t>优化旅游环境，盘活景区资源，提升</w:t>
      </w:r>
      <w:r>
        <w:rPr>
          <w:rFonts w:hint="eastAsia" w:ascii="Times New Roman" w:hAnsi="Times New Roman" w:eastAsia="仿宋_GB2312" w:cs="Times New Roman"/>
          <w:sz w:val="32"/>
          <w:szCs w:val="32"/>
        </w:rPr>
        <w:t>服务质量</w:t>
      </w:r>
      <w:r>
        <w:rPr>
          <w:rFonts w:hint="eastAsia" w:ascii="Times New Roman" w:hAnsi="Times New Roman" w:eastAsia="仿宋_GB2312" w:cs="Times New Roman"/>
          <w:sz w:val="32"/>
          <w:szCs w:val="32"/>
          <w:lang w:eastAsia="zh-CN"/>
        </w:rPr>
        <w:t>，</w:t>
      </w:r>
      <w:r>
        <w:rPr>
          <w:rFonts w:hint="eastAsia" w:eastAsia="仿宋_GB2312" w:cs="Times New Roman"/>
          <w:sz w:val="32"/>
          <w:szCs w:val="32"/>
          <w:lang w:val="en-US" w:eastAsia="zh-CN"/>
        </w:rPr>
        <w:t>市政府大力推进文旅融合发展、建设世界级旅游目的地、推进公共场馆园高质量运营。</w:t>
      </w:r>
      <w:r>
        <w:rPr>
          <w:rFonts w:hint="eastAsia" w:eastAsia="仿宋_GB2312"/>
          <w:sz w:val="32"/>
          <w:szCs w:val="32"/>
        </w:rPr>
        <w:t>另外，《广州市发展改革委关于加强我市景区门票及景区内相关服务价格管理有关问题的通知》（穗发改规字〔2019〕1号）已失效，按照行政规范性文件管理的有关规定，需对上述文件进行修订，进一步规范景区门票及景区内相关服务收费管理行为。</w:t>
      </w:r>
      <w:r>
        <w:rPr>
          <w:rFonts w:hint="eastAsia" w:ascii="Times New Roman" w:hAnsi="Times New Roman" w:eastAsia="仿宋_GB2312" w:cs="Times New Roman"/>
          <w:b w:val="0"/>
          <w:bCs w:val="0"/>
          <w:kern w:val="2"/>
          <w:sz w:val="32"/>
          <w:szCs w:val="32"/>
          <w:lang w:val="en-US" w:eastAsia="zh-CN" w:bidi="ar-SA"/>
        </w:rPr>
        <w:t>综合上述情况，并按照</w:t>
      </w:r>
      <w:r>
        <w:rPr>
          <w:rFonts w:hint="eastAsia" w:ascii="Times New Roman" w:hAnsi="Times New Roman" w:eastAsia="仿宋_GB2312" w:cs="Times New Roman"/>
          <w:sz w:val="32"/>
          <w:szCs w:val="32"/>
        </w:rPr>
        <w:t>《广东省定价目录（2022年版）》</w:t>
      </w:r>
      <w:r>
        <w:rPr>
          <w:rFonts w:hint="eastAsia" w:ascii="Times New Roman" w:hAnsi="Times New Roman" w:eastAsia="仿宋_GB2312" w:cs="Times New Roman"/>
          <w:b w:val="0"/>
          <w:bCs w:val="0"/>
          <w:kern w:val="2"/>
          <w:sz w:val="32"/>
          <w:szCs w:val="32"/>
          <w:lang w:val="en-US" w:eastAsia="zh-CN" w:bidi="ar-SA"/>
        </w:rPr>
        <w:t>有关规定，有必要对景区门票及相关服务制定统一的价格管理规范性文件，进一步</w:t>
      </w:r>
      <w:r>
        <w:rPr>
          <w:rFonts w:hint="eastAsia" w:eastAsia="仿宋_GB2312" w:cs="Times New Roman"/>
          <w:b w:val="0"/>
          <w:bCs w:val="0"/>
          <w:kern w:val="2"/>
          <w:sz w:val="32"/>
          <w:szCs w:val="32"/>
          <w:lang w:val="en-US" w:eastAsia="zh-CN" w:bidi="ar-SA"/>
        </w:rPr>
        <w:t>规范</w:t>
      </w:r>
      <w:r>
        <w:rPr>
          <w:rFonts w:hint="eastAsia" w:ascii="Times New Roman" w:hAnsi="Times New Roman" w:eastAsia="仿宋_GB2312" w:cs="Times New Roman"/>
          <w:b w:val="0"/>
          <w:bCs w:val="0"/>
          <w:kern w:val="2"/>
          <w:sz w:val="32"/>
          <w:szCs w:val="32"/>
          <w:lang w:val="en-US" w:eastAsia="zh-CN" w:bidi="ar-SA"/>
        </w:rPr>
        <w:t>景区收费行为，</w:t>
      </w:r>
      <w:r>
        <w:rPr>
          <w:rFonts w:hint="eastAsia" w:ascii="Times New Roman" w:hAnsi="Times New Roman" w:eastAsia="仿宋_GB2312" w:cs="Times New Roman"/>
          <w:sz w:val="32"/>
          <w:szCs w:val="32"/>
          <w:lang w:eastAsia="zh-CN"/>
        </w:rPr>
        <w:t>有效提升服务效能</w:t>
      </w:r>
      <w:r>
        <w:rPr>
          <w:rFonts w:hint="default" w:ascii="Times New Roman" w:hAnsi="Times New Roman" w:eastAsia="仿宋_GB2312" w:cs="Times New Roman"/>
          <w:sz w:val="32"/>
          <w:szCs w:val="32"/>
          <w:lang w:eastAsia="zh-CN"/>
        </w:rPr>
        <w:t>，</w:t>
      </w:r>
      <w:r>
        <w:rPr>
          <w:rFonts w:hint="eastAsia" w:ascii="Times New Roman" w:hAnsi="Times New Roman" w:eastAsia="仿宋_GB2312" w:cs="Times New Roman"/>
          <w:sz w:val="32"/>
          <w:szCs w:val="32"/>
          <w:lang w:eastAsia="zh-CN"/>
        </w:rPr>
        <w:t>更好满足人民群众休闲旅游需求。</w:t>
      </w:r>
    </w:p>
    <w:p>
      <w:pPr>
        <w:numPr>
          <w:ilvl w:val="0"/>
          <w:numId w:val="0"/>
        </w:numPr>
        <w:adjustRightInd w:val="0"/>
        <w:snapToGrid w:val="0"/>
        <w:spacing w:after="160" w:line="560" w:lineRule="exact"/>
        <w:ind w:firstLine="640" w:firstLineChars="200"/>
        <w:rPr>
          <w:rFonts w:hint="eastAsia" w:ascii="黑体" w:hAnsi="黑体" w:eastAsia="黑体" w:cs="黑体"/>
          <w:sz w:val="32"/>
          <w:szCs w:val="32"/>
          <w:highlight w:val="none"/>
          <w:lang w:eastAsia="zh-CN"/>
        </w:rPr>
      </w:pPr>
      <w:r>
        <w:rPr>
          <w:rFonts w:hint="default" w:ascii="Times New Roman" w:hAnsi="Times New Roman" w:eastAsia="黑体" w:cs="Times New Roman"/>
          <w:sz w:val="32"/>
          <w:szCs w:val="32"/>
          <w:lang w:val="en-US" w:eastAsia="zh-CN"/>
        </w:rPr>
        <w:t>二、</w:t>
      </w:r>
      <w:r>
        <w:rPr>
          <w:rFonts w:hint="eastAsia" w:ascii="黑体" w:hAnsi="黑体" w:eastAsia="黑体" w:cs="黑体"/>
          <w:sz w:val="32"/>
          <w:szCs w:val="32"/>
          <w:highlight w:val="none"/>
        </w:rPr>
        <w:t>制定文件必要性</w:t>
      </w:r>
      <w:r>
        <w:rPr>
          <w:rFonts w:hint="eastAsia" w:ascii="黑体" w:hAnsi="黑体" w:eastAsia="黑体" w:cs="黑体"/>
          <w:sz w:val="32"/>
          <w:szCs w:val="32"/>
          <w:highlight w:val="none"/>
          <w:lang w:eastAsia="zh-CN"/>
        </w:rPr>
        <w:t>及依据</w:t>
      </w:r>
    </w:p>
    <w:p>
      <w:pPr>
        <w:pStyle w:val="6"/>
        <w:keepNext w:val="0"/>
        <w:keepLines w:val="0"/>
        <w:pageBreakBefore w:val="0"/>
        <w:shd w:val="clear" w:color="auto" w:fill="FFFFFF"/>
        <w:wordWrap/>
        <w:overflowPunct/>
        <w:topLinePunct w:val="0"/>
        <w:bidi w:val="0"/>
        <w:spacing w:before="0" w:beforeAutospacing="0" w:after="0" w:afterAutospacing="0" w:line="560" w:lineRule="exact"/>
        <w:ind w:firstLine="640" w:firstLineChars="200"/>
        <w:textAlignment w:val="baseline"/>
        <w:rPr>
          <w:rFonts w:hint="eastAsia" w:eastAsia="仿宋_GB2312" w:cs="Times New Roman"/>
          <w:sz w:val="32"/>
          <w:szCs w:val="32"/>
          <w:highlight w:val="none"/>
        </w:rPr>
      </w:pPr>
      <w:bookmarkStart w:id="0" w:name="_Hlk183790684"/>
      <w:r>
        <w:rPr>
          <w:rFonts w:hint="eastAsia" w:ascii="楷体_GB2312" w:hAnsi="楷体_GB2312" w:eastAsia="楷体_GB2312" w:cs="楷体_GB2312"/>
          <w:sz w:val="32"/>
          <w:szCs w:val="32"/>
          <w:highlight w:val="none"/>
        </w:rPr>
        <w:t>（一）落实价格管理有关要求的需要。</w:t>
      </w:r>
      <w:r>
        <w:rPr>
          <w:rFonts w:hint="default" w:ascii="Times New Roman" w:hAnsi="Times New Roman" w:eastAsia="仿宋_GB2312" w:cs="Times New Roman"/>
          <w:kern w:val="2"/>
          <w:sz w:val="32"/>
          <w:szCs w:val="32"/>
          <w:highlight w:val="none"/>
          <w:lang w:val="en-US" w:eastAsia="zh-CN" w:bidi="ar-SA"/>
          <w14:ligatures w14:val="standardContextual"/>
        </w:rPr>
        <w:t>《国家计委关于印发游览参观点门票价格管理办法的通知》（计价格〔2000〕2303号）第三条</w:t>
      </w:r>
      <w:r>
        <w:rPr>
          <w:rFonts w:hint="eastAsia" w:ascii="Times New Roman" w:hAnsi="Times New Roman" w:eastAsia="仿宋_GB2312" w:cs="Times New Roman"/>
          <w:kern w:val="2"/>
          <w:sz w:val="32"/>
          <w:szCs w:val="32"/>
          <w:highlight w:val="none"/>
          <w:lang w:val="en-US" w:eastAsia="zh-CN" w:bidi="ar-SA"/>
          <w14:ligatures w14:val="standardContextual"/>
        </w:rPr>
        <w:t>规定，</w:t>
      </w:r>
      <w:r>
        <w:rPr>
          <w:rFonts w:hint="default" w:ascii="Times New Roman" w:hAnsi="Times New Roman" w:eastAsia="仿宋_GB2312" w:cs="Times New Roman"/>
          <w:kern w:val="2"/>
          <w:sz w:val="32"/>
          <w:szCs w:val="32"/>
          <w:highlight w:val="none"/>
          <w:lang w:val="en-US" w:eastAsia="zh-CN" w:bidi="ar-SA"/>
          <w14:ligatures w14:val="standardContextual"/>
        </w:rPr>
        <w:t>各级政府价格主管部门是游览参观点门票价格的主管部门，依法对游览参观点门票价格实施管理。《广东省景区门票及景区内交通运输价格管理办法》</w:t>
      </w:r>
      <w:r>
        <w:rPr>
          <w:rFonts w:hint="default" w:ascii="Times New Roman" w:hAnsi="Times New Roman" w:eastAsia="仿宋_GB2312" w:cs="Times New Roman"/>
          <w:kern w:val="2"/>
          <w:sz w:val="32"/>
          <w:szCs w:val="32"/>
          <w:highlight w:val="none"/>
          <w:lang w:val="en-US" w:eastAsia="en-US" w:bidi="ar-SA"/>
          <w14:ligatures w14:val="standardContextual"/>
        </w:rPr>
        <w:t>第四条</w:t>
      </w:r>
      <w:r>
        <w:rPr>
          <w:rFonts w:hint="eastAsia" w:ascii="Times New Roman" w:hAnsi="Times New Roman" w:eastAsia="仿宋_GB2312" w:cs="Times New Roman"/>
          <w:kern w:val="2"/>
          <w:sz w:val="32"/>
          <w:szCs w:val="32"/>
          <w:highlight w:val="none"/>
          <w:lang w:val="en-US" w:eastAsia="zh-CN" w:bidi="ar-SA"/>
          <w14:ligatures w14:val="standardContextual"/>
        </w:rPr>
        <w:t>要求，</w:t>
      </w:r>
      <w:r>
        <w:rPr>
          <w:rFonts w:hint="default" w:ascii="Times New Roman" w:hAnsi="Times New Roman" w:eastAsia="仿宋_GB2312" w:cs="Times New Roman"/>
          <w:kern w:val="2"/>
          <w:sz w:val="32"/>
          <w:szCs w:val="32"/>
          <w:highlight w:val="none"/>
          <w:lang w:val="en-US" w:eastAsia="en-US" w:bidi="ar-SA"/>
          <w14:ligatures w14:val="standardContextual"/>
        </w:rPr>
        <w:t>各级政府发展改革部门是景区门票及景区内交通运输服务价格的主管部门，依法对景区门票及景区内交通运输服务价格实施管理</w:t>
      </w:r>
      <w:r>
        <w:rPr>
          <w:rFonts w:hint="eastAsia" w:ascii="Times New Roman" w:hAnsi="Times New Roman" w:eastAsia="仿宋_GB2312" w:cs="Times New Roman"/>
          <w:kern w:val="2"/>
          <w:sz w:val="32"/>
          <w:szCs w:val="32"/>
          <w:highlight w:val="none"/>
          <w:lang w:val="en-US" w:eastAsia="zh-CN" w:bidi="ar-SA"/>
          <w14:ligatures w14:val="standardContextual"/>
        </w:rPr>
        <w:t>。制定《广州市景区门票及相关服务价格管理实</w:t>
      </w:r>
      <w:r>
        <w:rPr>
          <w:rFonts w:hint="eastAsia" w:eastAsia="仿宋_GB2312" w:cs="Times New Roman"/>
          <w:sz w:val="32"/>
          <w:szCs w:val="32"/>
          <w:highlight w:val="none"/>
        </w:rPr>
        <w:t>施办法》（下称《办法》）是落实上述要求的具体举措。</w:t>
      </w:r>
    </w:p>
    <w:p>
      <w:pPr>
        <w:adjustRightInd w:val="0"/>
        <w:snapToGrid w:val="0"/>
        <w:spacing w:line="560" w:lineRule="exact"/>
        <w:ind w:firstLine="640" w:firstLineChars="200"/>
        <w:rPr>
          <w:rFonts w:ascii="Times New Roman" w:hAnsi="Times New Roman" w:eastAsia="仿宋_GB2312" w:cs="Times New Roman"/>
          <w:sz w:val="32"/>
          <w:szCs w:val="32"/>
          <w:highlight w:val="none"/>
        </w:rPr>
      </w:pPr>
      <w:r>
        <w:rPr>
          <w:rFonts w:hint="eastAsia" w:ascii="楷体_GB2312" w:hAnsi="楷体_GB2312" w:eastAsia="楷体_GB2312" w:cs="楷体_GB2312"/>
          <w:sz w:val="32"/>
          <w:szCs w:val="32"/>
          <w:highlight w:val="none"/>
        </w:rPr>
        <w:t>（二）加强行政规范性文件管理的需要。</w:t>
      </w:r>
      <w:bookmarkStart w:id="1" w:name="_Hlk183792057"/>
      <w:r>
        <w:rPr>
          <w:rFonts w:hint="eastAsia" w:ascii="Times New Roman" w:hAnsi="Times New Roman" w:eastAsia="仿宋_GB2312" w:cs="Times New Roman"/>
          <w:sz w:val="32"/>
          <w:szCs w:val="32"/>
          <w:highlight w:val="none"/>
        </w:rPr>
        <w:t>《广州市发展改革委关于加强我市景区门票及景区内相关服务价格管理有关问题的通知》（穗发改规字〔2019〕1号）已失效，按照行政规范性文件管理的有关规定，需对上述文件及时进行修订</w:t>
      </w:r>
      <w:r>
        <w:rPr>
          <w:rFonts w:hint="eastAsia" w:eastAsia="仿宋_GB2312" w:cs="Times New Roman"/>
          <w:sz w:val="32"/>
          <w:szCs w:val="32"/>
          <w:highlight w:val="none"/>
          <w:lang w:eastAsia="zh-CN"/>
        </w:rPr>
        <w:t>。</w:t>
      </w:r>
      <w:r>
        <w:rPr>
          <w:rFonts w:hint="eastAsia" w:eastAsia="仿宋_GB2312" w:cs="Times New Roman"/>
          <w:sz w:val="32"/>
          <w:szCs w:val="32"/>
          <w:highlight w:val="none"/>
          <w:lang w:val="en-US" w:eastAsia="zh-CN"/>
        </w:rPr>
        <w:t>同时，省发展改革委于2024年11月印发《广东省景区门票及景区内交通运输服务价格管理办法》，制定《办法》是落实省的有关工作要求，</w:t>
      </w:r>
      <w:r>
        <w:rPr>
          <w:rFonts w:hint="eastAsia" w:ascii="Times New Roman" w:hAnsi="Times New Roman" w:eastAsia="仿宋_GB2312" w:cs="Times New Roman"/>
          <w:sz w:val="32"/>
          <w:szCs w:val="32"/>
          <w:highlight w:val="none"/>
        </w:rPr>
        <w:t>进一步规范</w:t>
      </w:r>
      <w:r>
        <w:rPr>
          <w:rFonts w:hint="eastAsia" w:eastAsia="仿宋_GB2312" w:cs="Times New Roman"/>
          <w:sz w:val="32"/>
          <w:szCs w:val="32"/>
          <w:highlight w:val="none"/>
          <w:lang w:eastAsia="zh-CN"/>
        </w:rPr>
        <w:t>我市</w:t>
      </w:r>
      <w:r>
        <w:rPr>
          <w:rFonts w:hint="eastAsia" w:ascii="Times New Roman" w:hAnsi="Times New Roman" w:eastAsia="仿宋_GB2312" w:cs="Times New Roman"/>
          <w:sz w:val="32"/>
          <w:szCs w:val="32"/>
          <w:highlight w:val="none"/>
        </w:rPr>
        <w:t>景区门票及相关服务收费行为</w:t>
      </w:r>
      <w:r>
        <w:rPr>
          <w:rFonts w:hint="eastAsia" w:eastAsia="仿宋_GB2312" w:cs="Times New Roman"/>
          <w:sz w:val="32"/>
          <w:szCs w:val="32"/>
          <w:highlight w:val="none"/>
          <w:lang w:eastAsia="zh-CN"/>
        </w:rPr>
        <w:t>的现实需要</w:t>
      </w:r>
      <w:r>
        <w:rPr>
          <w:rFonts w:hint="eastAsia" w:ascii="Times New Roman" w:hAnsi="Times New Roman" w:eastAsia="仿宋_GB2312" w:cs="Times New Roman"/>
          <w:sz w:val="32"/>
          <w:szCs w:val="32"/>
          <w:highlight w:val="none"/>
        </w:rPr>
        <w:t>。</w:t>
      </w:r>
    </w:p>
    <w:bookmarkEnd w:id="1"/>
    <w:p>
      <w:pPr>
        <w:pStyle w:val="12"/>
        <w:spacing w:line="560" w:lineRule="exact"/>
        <w:ind w:firstLine="640" w:firstLineChars="200"/>
        <w:rPr>
          <w:rFonts w:hint="eastAsia" w:ascii="Times New Roman" w:hAnsi="Times New Roman" w:eastAsia="仿宋_GB2312" w:cs="Times New Roman"/>
          <w:sz w:val="32"/>
          <w:szCs w:val="32"/>
          <w:highlight w:val="none"/>
          <w:lang w:eastAsia="zh-CN"/>
        </w:rPr>
      </w:pPr>
      <w:r>
        <w:rPr>
          <w:rFonts w:hint="eastAsia" w:ascii="楷体_GB2312" w:hAnsi="楷体_GB2312" w:eastAsia="楷体_GB2312" w:cs="楷体_GB2312"/>
          <w:sz w:val="32"/>
          <w:szCs w:val="32"/>
          <w:highlight w:val="none"/>
        </w:rPr>
        <w:t>（三）满足人民群众休闲旅游</w:t>
      </w:r>
      <w:r>
        <w:rPr>
          <w:rFonts w:hint="eastAsia" w:ascii="楷体_GB2312" w:hAnsi="楷体_GB2312" w:eastAsia="楷体_GB2312" w:cs="楷体_GB2312"/>
          <w:sz w:val="32"/>
          <w:szCs w:val="32"/>
          <w:highlight w:val="none"/>
          <w:lang w:eastAsia="zh-CN"/>
        </w:rPr>
        <w:t>更高</w:t>
      </w:r>
      <w:r>
        <w:rPr>
          <w:rFonts w:hint="eastAsia" w:ascii="楷体_GB2312" w:hAnsi="楷体_GB2312" w:eastAsia="楷体_GB2312" w:cs="楷体_GB2312"/>
          <w:sz w:val="32"/>
          <w:szCs w:val="32"/>
          <w:highlight w:val="none"/>
        </w:rPr>
        <w:t>需求的需要。</w:t>
      </w:r>
      <w:r>
        <w:rPr>
          <w:rFonts w:hint="eastAsia" w:ascii="Times New Roman" w:hAnsi="Times New Roman" w:eastAsia="仿宋_GB2312" w:cs="Times New Roman"/>
          <w:sz w:val="32"/>
          <w:szCs w:val="32"/>
          <w:highlight w:val="none"/>
        </w:rPr>
        <w:t>为落实国家、省关于</w:t>
      </w:r>
      <w:r>
        <w:rPr>
          <w:rFonts w:hint="eastAsia" w:ascii="Times New Roman" w:hAnsi="Times New Roman" w:eastAsia="仿宋_GB2312" w:cs="Times New Roman"/>
          <w:sz w:val="32"/>
          <w:szCs w:val="32"/>
          <w:highlight w:val="none"/>
          <w:lang w:eastAsia="zh-CN"/>
        </w:rPr>
        <w:t>释放旅游消费潜力、推动旅游业高质量发展的工作部署</w:t>
      </w:r>
      <w:r>
        <w:rPr>
          <w:rFonts w:hint="eastAsia" w:ascii="Times New Roman" w:hAnsi="Times New Roman" w:eastAsia="仿宋_GB2312" w:cs="Times New Roman"/>
          <w:sz w:val="32"/>
          <w:szCs w:val="32"/>
          <w:highlight w:val="none"/>
        </w:rPr>
        <w:t>，</w:t>
      </w:r>
      <w:r>
        <w:rPr>
          <w:rFonts w:hint="eastAsia" w:ascii="Times New Roman" w:hAnsi="Times New Roman" w:eastAsia="仿宋_GB2312" w:cs="Times New Roman"/>
          <w:sz w:val="32"/>
          <w:szCs w:val="32"/>
          <w:highlight w:val="none"/>
          <w:lang w:eastAsia="zh-CN"/>
        </w:rPr>
        <w:t>《办法》在</w:t>
      </w:r>
      <w:r>
        <w:rPr>
          <w:rFonts w:hint="default" w:ascii="Times New Roman" w:hAnsi="Times New Roman" w:eastAsia="仿宋_GB2312" w:cs="Times New Roman"/>
          <w:sz w:val="32"/>
          <w:szCs w:val="32"/>
          <w:highlight w:val="none"/>
        </w:rPr>
        <w:t>坚持公益导向</w:t>
      </w:r>
      <w:r>
        <w:rPr>
          <w:rFonts w:hint="eastAsia" w:ascii="Times New Roman" w:hAnsi="Times New Roman" w:eastAsia="仿宋_GB2312" w:cs="Times New Roman"/>
          <w:sz w:val="32"/>
          <w:szCs w:val="32"/>
          <w:highlight w:val="none"/>
          <w:lang w:eastAsia="zh-CN"/>
        </w:rPr>
        <w:t>的基础上</w:t>
      </w:r>
      <w:r>
        <w:rPr>
          <w:rFonts w:hint="default" w:ascii="Times New Roman" w:hAnsi="Times New Roman" w:eastAsia="仿宋_GB2312" w:cs="Times New Roman"/>
          <w:sz w:val="32"/>
          <w:szCs w:val="32"/>
          <w:highlight w:val="none"/>
        </w:rPr>
        <w:t>，</w:t>
      </w:r>
      <w:r>
        <w:rPr>
          <w:rFonts w:hint="eastAsia" w:ascii="Times New Roman" w:hAnsi="Times New Roman" w:eastAsia="仿宋_GB2312" w:cs="Times New Roman"/>
          <w:sz w:val="32"/>
          <w:szCs w:val="32"/>
          <w:highlight w:val="none"/>
          <w:lang w:eastAsia="zh-CN"/>
        </w:rPr>
        <w:t>明确在景区内举办确有观赏性且成本较高的临时</w:t>
      </w:r>
      <w:r>
        <w:rPr>
          <w:rFonts w:hint="default" w:ascii="Times New Roman" w:hAnsi="Times New Roman" w:eastAsia="仿宋_GB2312" w:cs="Times New Roman"/>
          <w:sz w:val="32"/>
          <w:szCs w:val="32"/>
          <w:highlight w:val="none"/>
        </w:rPr>
        <w:t>活动</w:t>
      </w:r>
      <w:r>
        <w:rPr>
          <w:rFonts w:hint="eastAsia" w:ascii="Times New Roman" w:hAnsi="Times New Roman" w:eastAsia="仿宋_GB2312" w:cs="Times New Roman"/>
          <w:sz w:val="32"/>
          <w:szCs w:val="32"/>
          <w:highlight w:val="none"/>
          <w:lang w:eastAsia="zh-CN"/>
        </w:rPr>
        <w:t>经批准可适当收取费用，并明确了政府指导价标准，有利于有效盘活景区资源，提升</w:t>
      </w:r>
      <w:r>
        <w:rPr>
          <w:rFonts w:hint="eastAsia" w:ascii="Times New Roman" w:hAnsi="Times New Roman" w:eastAsia="仿宋_GB2312" w:cs="Times New Roman"/>
          <w:sz w:val="32"/>
          <w:szCs w:val="32"/>
          <w:highlight w:val="none"/>
        </w:rPr>
        <w:t>景区服务供给质量，满足人民群众多样化、个性化、高品质的休闲旅游需求</w:t>
      </w:r>
      <w:r>
        <w:rPr>
          <w:rFonts w:hint="eastAsia" w:ascii="Times New Roman" w:hAnsi="Times New Roman" w:eastAsia="仿宋_GB2312" w:cs="Times New Roman"/>
          <w:sz w:val="32"/>
          <w:szCs w:val="32"/>
          <w:highlight w:val="none"/>
          <w:lang w:eastAsia="zh-CN"/>
        </w:rPr>
        <w:t>。</w:t>
      </w:r>
    </w:p>
    <w:bookmarkEnd w:id="0"/>
    <w:p>
      <w:pPr>
        <w:numPr>
          <w:ilvl w:val="0"/>
          <w:numId w:val="0"/>
        </w:numPr>
        <w:adjustRightInd w:val="0"/>
        <w:snapToGrid w:val="0"/>
        <w:spacing w:after="160" w:line="560" w:lineRule="exact"/>
        <w:ind w:firstLine="640" w:firstLineChars="200"/>
        <w:rPr>
          <w:rFonts w:hint="eastAsia" w:ascii="黑体" w:hAnsi="黑体" w:eastAsia="黑体" w:cs="黑体"/>
          <w:sz w:val="32"/>
          <w:szCs w:val="32"/>
          <w:highlight w:val="none"/>
        </w:rPr>
      </w:pPr>
      <w:r>
        <w:rPr>
          <w:rFonts w:hint="eastAsia" w:ascii="黑体" w:hAnsi="黑体" w:eastAsia="黑体" w:cs="黑体"/>
          <w:sz w:val="32"/>
          <w:szCs w:val="32"/>
          <w:highlight w:val="none"/>
          <w:lang w:eastAsia="zh-CN"/>
        </w:rPr>
        <w:t>三、</w:t>
      </w:r>
      <w:r>
        <w:rPr>
          <w:rFonts w:hint="eastAsia" w:ascii="黑体" w:hAnsi="黑体" w:eastAsia="黑体" w:cs="黑体"/>
          <w:sz w:val="32"/>
          <w:szCs w:val="32"/>
          <w:highlight w:val="none"/>
        </w:rPr>
        <w:t>文件可行性</w:t>
      </w:r>
    </w:p>
    <w:p>
      <w:pPr>
        <w:tabs>
          <w:tab w:val="left" w:pos="2106"/>
        </w:tabs>
        <w:spacing w:line="560" w:lineRule="exact"/>
        <w:ind w:firstLine="640" w:firstLineChars="200"/>
        <w:rPr>
          <w:rFonts w:hint="eastAsia" w:eastAsia="仿宋_GB2312" w:cs="Times New Roman"/>
          <w:sz w:val="32"/>
          <w:szCs w:val="32"/>
          <w:highlight w:val="none"/>
          <w:lang w:val="en-US" w:eastAsia="zh-CN"/>
        </w:rPr>
      </w:pPr>
      <w:bookmarkStart w:id="2" w:name="_Hlk183790720"/>
      <w:r>
        <w:rPr>
          <w:rFonts w:hint="eastAsia" w:ascii="Times New Roman" w:hAnsi="Times New Roman" w:eastAsia="仿宋_GB2312" w:cs="Times New Roman"/>
          <w:color w:val="000000" w:themeColor="text1"/>
          <w:sz w:val="32"/>
          <w:szCs w:val="32"/>
          <w:highlight w:val="none"/>
          <w:lang w:eastAsia="zh-CN"/>
          <w14:textFill>
            <w14:solidFill>
              <w14:schemeClr w14:val="tx1"/>
            </w14:solidFill>
          </w14:textFill>
        </w:rPr>
        <w:t>一方面，</w:t>
      </w:r>
      <w:r>
        <w:rPr>
          <w:rFonts w:hint="eastAsia" w:ascii="Times New Roman" w:hAnsi="Times New Roman" w:eastAsia="仿宋_GB2312" w:cs="Times New Roman"/>
          <w:color w:val="000000" w:themeColor="text1"/>
          <w:sz w:val="32"/>
          <w:szCs w:val="32"/>
          <w:highlight w:val="none"/>
          <w:lang w:val="en-US" w:eastAsia="zh-CN"/>
          <w14:textFill>
            <w14:solidFill>
              <w14:schemeClr w14:val="tx1"/>
            </w14:solidFill>
          </w14:textFill>
        </w:rPr>
        <w:t>2019年以来，国家陆续出台关于做好景区价格管理工作的意见，</w:t>
      </w:r>
      <w:r>
        <w:rPr>
          <w:rFonts w:hint="eastAsia" w:eastAsia="仿宋_GB2312" w:cs="Times New Roman"/>
          <w:sz w:val="32"/>
          <w:szCs w:val="32"/>
          <w:highlight w:val="none"/>
          <w:lang w:val="en-US" w:eastAsia="zh-CN"/>
        </w:rPr>
        <w:t>省发展改革委于2024年11月印发《广东省景区门票及景区内交通运输服务价格管理办法》，对规范全省景区门票价格管理工作提出具体要求，在对原行政规范性文件进行修订时，《办法》认真贯彻国家、省的有关要求；另一方面，近年来，市政府大力推进文旅融合发展、世界级旅游目的地建设、公共场馆园高质量运营等工作，《办法》积极落实市政府工作部署，</w:t>
      </w:r>
      <w:r>
        <w:rPr>
          <w:rFonts w:hint="eastAsia" w:ascii="Times New Roman" w:hAnsi="Times New Roman" w:eastAsia="仿宋_GB2312" w:cs="Times New Roman"/>
          <w:sz w:val="32"/>
          <w:szCs w:val="32"/>
          <w:highlight w:val="none"/>
          <w:lang w:eastAsia="zh-CN"/>
        </w:rPr>
        <w:t>在</w:t>
      </w:r>
      <w:r>
        <w:rPr>
          <w:rFonts w:hint="default" w:ascii="Times New Roman" w:hAnsi="Times New Roman" w:eastAsia="仿宋_GB2312" w:cs="Times New Roman"/>
          <w:sz w:val="32"/>
          <w:szCs w:val="32"/>
          <w:highlight w:val="none"/>
        </w:rPr>
        <w:t>坚持公益导向</w:t>
      </w:r>
      <w:r>
        <w:rPr>
          <w:rFonts w:hint="eastAsia" w:ascii="Times New Roman" w:hAnsi="Times New Roman" w:eastAsia="仿宋_GB2312" w:cs="Times New Roman"/>
          <w:sz w:val="32"/>
          <w:szCs w:val="32"/>
          <w:highlight w:val="none"/>
          <w:lang w:eastAsia="zh-CN"/>
        </w:rPr>
        <w:t>的基础上</w:t>
      </w:r>
      <w:r>
        <w:rPr>
          <w:rFonts w:hint="default" w:ascii="Times New Roman" w:hAnsi="Times New Roman" w:eastAsia="仿宋_GB2312" w:cs="Times New Roman"/>
          <w:sz w:val="32"/>
          <w:szCs w:val="32"/>
          <w:highlight w:val="none"/>
        </w:rPr>
        <w:t>，</w:t>
      </w:r>
      <w:r>
        <w:rPr>
          <w:rFonts w:hint="eastAsia" w:ascii="Times New Roman" w:hAnsi="Times New Roman" w:eastAsia="仿宋_GB2312" w:cs="Times New Roman"/>
          <w:sz w:val="32"/>
          <w:szCs w:val="32"/>
          <w:highlight w:val="none"/>
          <w:lang w:eastAsia="zh-CN"/>
        </w:rPr>
        <w:t>明确在景区内举办确有观赏性且成本较高的临时</w:t>
      </w:r>
      <w:r>
        <w:rPr>
          <w:rFonts w:hint="default" w:ascii="Times New Roman" w:hAnsi="Times New Roman" w:eastAsia="仿宋_GB2312" w:cs="Times New Roman"/>
          <w:sz w:val="32"/>
          <w:szCs w:val="32"/>
          <w:highlight w:val="none"/>
        </w:rPr>
        <w:t>活动</w:t>
      </w:r>
      <w:r>
        <w:rPr>
          <w:rFonts w:hint="eastAsia" w:ascii="Times New Roman" w:hAnsi="Times New Roman" w:eastAsia="仿宋_GB2312" w:cs="Times New Roman"/>
          <w:sz w:val="32"/>
          <w:szCs w:val="32"/>
          <w:highlight w:val="none"/>
          <w:lang w:eastAsia="zh-CN"/>
        </w:rPr>
        <w:t>经批准可适当收取费用，旨在通过发挥价格政策的杠杆调节作用，优化旅游环境，盘活景区资源，提升</w:t>
      </w:r>
      <w:r>
        <w:rPr>
          <w:rFonts w:hint="eastAsia" w:ascii="Times New Roman" w:hAnsi="Times New Roman" w:eastAsia="仿宋_GB2312" w:cs="Times New Roman"/>
          <w:sz w:val="32"/>
          <w:szCs w:val="32"/>
          <w:highlight w:val="none"/>
        </w:rPr>
        <w:t>服务质量</w:t>
      </w:r>
      <w:r>
        <w:rPr>
          <w:rFonts w:hint="eastAsia" w:eastAsia="仿宋_GB2312" w:cs="Times New Roman"/>
          <w:sz w:val="32"/>
          <w:szCs w:val="32"/>
          <w:highlight w:val="none"/>
          <w:lang w:val="en-US" w:eastAsia="zh-CN"/>
        </w:rPr>
        <w:t>。</w:t>
      </w:r>
    </w:p>
    <w:p>
      <w:pPr>
        <w:tabs>
          <w:tab w:val="left" w:pos="2106"/>
        </w:tabs>
        <w:spacing w:line="560" w:lineRule="exact"/>
        <w:ind w:firstLine="640" w:firstLineChars="200"/>
        <w:rPr>
          <w:rFonts w:eastAsia="仿宋_GB2312" w:cs="仿宋_GB2312"/>
          <w:sz w:val="32"/>
          <w:szCs w:val="32"/>
          <w:highlight w:val="none"/>
        </w:rPr>
      </w:pPr>
      <w:r>
        <w:rPr>
          <w:rFonts w:hint="eastAsia" w:ascii="Times New Roman" w:hAnsi="Times New Roman" w:eastAsia="仿宋_GB2312" w:cs="Times New Roman"/>
          <w:color w:val="000000" w:themeColor="text1"/>
          <w:sz w:val="32"/>
          <w:szCs w:val="32"/>
          <w:highlight w:val="none"/>
          <w:lang w:eastAsia="zh-CN"/>
          <w14:textFill>
            <w14:solidFill>
              <w14:schemeClr w14:val="tx1"/>
            </w14:solidFill>
          </w14:textFill>
        </w:rPr>
        <w:t>综上，《办法》既</w:t>
      </w:r>
      <w:r>
        <w:rPr>
          <w:rFonts w:hint="eastAsia" w:ascii="Times New Roman" w:hAnsi="Times New Roman" w:eastAsia="仿宋_GB2312" w:cs="Times New Roman"/>
          <w:color w:val="000000" w:themeColor="text1"/>
          <w:sz w:val="32"/>
          <w:szCs w:val="32"/>
          <w:highlight w:val="none"/>
          <w14:textFill>
            <w14:solidFill>
              <w14:schemeClr w14:val="tx1"/>
            </w14:solidFill>
          </w14:textFill>
        </w:rPr>
        <w:t>严格落实国家、省</w:t>
      </w:r>
      <w:r>
        <w:rPr>
          <w:rFonts w:hint="eastAsia" w:ascii="Times New Roman" w:hAnsi="Times New Roman" w:eastAsia="仿宋_GB2312" w:cs="Times New Roman"/>
          <w:color w:val="000000" w:themeColor="text1"/>
          <w:sz w:val="32"/>
          <w:szCs w:val="32"/>
          <w:highlight w:val="none"/>
          <w:lang w:eastAsia="zh-CN"/>
          <w14:textFill>
            <w14:solidFill>
              <w14:schemeClr w14:val="tx1"/>
            </w14:solidFill>
          </w14:textFill>
        </w:rPr>
        <w:t>关于景区门票及相关服务价格管理的最新</w:t>
      </w:r>
      <w:r>
        <w:rPr>
          <w:rFonts w:hint="eastAsia" w:ascii="Times New Roman" w:hAnsi="Times New Roman" w:eastAsia="仿宋_GB2312" w:cs="Times New Roman"/>
          <w:color w:val="000000" w:themeColor="text1"/>
          <w:sz w:val="32"/>
          <w:szCs w:val="32"/>
          <w:highlight w:val="none"/>
          <w14:textFill>
            <w14:solidFill>
              <w14:schemeClr w14:val="tx1"/>
            </w14:solidFill>
          </w14:textFill>
        </w:rPr>
        <w:t>政策要求，又</w:t>
      </w:r>
      <w:r>
        <w:rPr>
          <w:rFonts w:hint="eastAsia" w:ascii="Times New Roman" w:hAnsi="Times New Roman" w:eastAsia="仿宋_GB2312" w:cs="Times New Roman"/>
          <w:color w:val="000000" w:themeColor="text1"/>
          <w:sz w:val="32"/>
          <w:szCs w:val="32"/>
          <w:highlight w:val="none"/>
          <w:lang w:eastAsia="zh-CN"/>
          <w14:textFill>
            <w14:solidFill>
              <w14:schemeClr w14:val="tx1"/>
            </w14:solidFill>
          </w14:textFill>
        </w:rPr>
        <w:t>结合</w:t>
      </w:r>
      <w:r>
        <w:rPr>
          <w:rFonts w:hint="eastAsia" w:ascii="Times New Roman" w:hAnsi="Times New Roman" w:eastAsia="仿宋_GB2312" w:cs="Times New Roman"/>
          <w:color w:val="000000" w:themeColor="text1"/>
          <w:sz w:val="32"/>
          <w:szCs w:val="32"/>
          <w:highlight w:val="none"/>
          <w14:textFill>
            <w14:solidFill>
              <w14:schemeClr w14:val="tx1"/>
            </w14:solidFill>
          </w14:textFill>
        </w:rPr>
        <w:t>广州实际</w:t>
      </w:r>
      <w:r>
        <w:rPr>
          <w:rFonts w:hint="eastAsia" w:ascii="Times New Roman" w:hAnsi="Times New Roman" w:eastAsia="仿宋_GB2312" w:cs="Times New Roman"/>
          <w:color w:val="000000" w:themeColor="text1"/>
          <w:sz w:val="32"/>
          <w:szCs w:val="32"/>
          <w:highlight w:val="none"/>
          <w:lang w:eastAsia="zh-CN"/>
          <w14:textFill>
            <w14:solidFill>
              <w14:schemeClr w14:val="tx1"/>
            </w14:solidFill>
          </w14:textFill>
        </w:rPr>
        <w:t>情况</w:t>
      </w:r>
      <w:r>
        <w:rPr>
          <w:rFonts w:hint="eastAsia" w:ascii="Times New Roman" w:hAnsi="Times New Roman" w:eastAsia="仿宋_GB2312" w:cs="Times New Roman"/>
          <w:color w:val="000000" w:themeColor="text1"/>
          <w:sz w:val="32"/>
          <w:szCs w:val="32"/>
          <w:highlight w:val="none"/>
          <w14:textFill>
            <w14:solidFill>
              <w14:schemeClr w14:val="tx1"/>
            </w14:solidFill>
          </w14:textFill>
        </w:rPr>
        <w:t>，</w:t>
      </w:r>
      <w:r>
        <w:rPr>
          <w:rFonts w:hint="eastAsia" w:ascii="Times New Roman" w:hAnsi="Times New Roman" w:eastAsia="仿宋_GB2312" w:cs="Times New Roman"/>
          <w:color w:val="000000" w:themeColor="text1"/>
          <w:sz w:val="32"/>
          <w:szCs w:val="32"/>
          <w:highlight w:val="none"/>
          <w:lang w:eastAsia="zh-CN"/>
          <w14:textFill>
            <w14:solidFill>
              <w14:schemeClr w14:val="tx1"/>
            </w14:solidFill>
          </w14:textFill>
        </w:rPr>
        <w:t>将进一步规范我市景区门票及相关服务价格行为，</w:t>
      </w:r>
      <w:r>
        <w:rPr>
          <w:rFonts w:hint="eastAsia" w:ascii="Times New Roman" w:hAnsi="Times New Roman" w:eastAsia="仿宋_GB2312" w:cs="Times New Roman"/>
          <w:color w:val="000000" w:themeColor="text1"/>
          <w:sz w:val="32"/>
          <w:szCs w:val="32"/>
          <w:highlight w:val="none"/>
          <w14:textFill>
            <w14:solidFill>
              <w14:schemeClr w14:val="tx1"/>
            </w14:solidFill>
          </w14:textFill>
        </w:rPr>
        <w:t>有效</w:t>
      </w:r>
      <w:r>
        <w:rPr>
          <w:rFonts w:ascii="Times New Roman" w:hAnsi="Times New Roman" w:eastAsia="仿宋_GB2312" w:cs="Times New Roman"/>
          <w:color w:val="000000" w:themeColor="text1"/>
          <w:sz w:val="32"/>
          <w:szCs w:val="32"/>
          <w:highlight w:val="none"/>
          <w14:textFill>
            <w14:solidFill>
              <w14:schemeClr w14:val="tx1"/>
            </w14:solidFill>
          </w14:textFill>
        </w:rPr>
        <w:t>维护</w:t>
      </w:r>
      <w:r>
        <w:rPr>
          <w:rFonts w:hint="eastAsia" w:ascii="Times New Roman" w:hAnsi="Times New Roman" w:eastAsia="仿宋_GB2312" w:cs="Times New Roman"/>
          <w:color w:val="000000" w:themeColor="text1"/>
          <w:sz w:val="32"/>
          <w:szCs w:val="32"/>
          <w:highlight w:val="none"/>
          <w:lang w:eastAsia="zh-CN"/>
          <w14:textFill>
            <w14:solidFill>
              <w14:schemeClr w14:val="tx1"/>
            </w14:solidFill>
          </w14:textFill>
        </w:rPr>
        <w:t>广大游客</w:t>
      </w:r>
      <w:r>
        <w:rPr>
          <w:rFonts w:ascii="Times New Roman" w:hAnsi="Times New Roman" w:eastAsia="仿宋_GB2312" w:cs="Times New Roman"/>
          <w:color w:val="000000" w:themeColor="text1"/>
          <w:sz w:val="32"/>
          <w:szCs w:val="32"/>
          <w:highlight w:val="none"/>
          <w14:textFill>
            <w14:solidFill>
              <w14:schemeClr w14:val="tx1"/>
            </w14:solidFill>
          </w14:textFill>
        </w:rPr>
        <w:t>合法权益，促进</w:t>
      </w:r>
      <w:r>
        <w:rPr>
          <w:rFonts w:hint="eastAsia" w:ascii="Times New Roman" w:hAnsi="Times New Roman" w:eastAsia="仿宋_GB2312" w:cs="Times New Roman"/>
          <w:color w:val="000000" w:themeColor="text1"/>
          <w:sz w:val="32"/>
          <w:szCs w:val="32"/>
          <w:highlight w:val="none"/>
          <w:lang w:eastAsia="zh-CN"/>
          <w14:textFill>
            <w14:solidFill>
              <w14:schemeClr w14:val="tx1"/>
            </w14:solidFill>
          </w14:textFill>
        </w:rPr>
        <w:t>我市旅游</w:t>
      </w:r>
      <w:r>
        <w:rPr>
          <w:rFonts w:ascii="Times New Roman" w:hAnsi="Times New Roman" w:eastAsia="仿宋_GB2312" w:cs="Times New Roman"/>
          <w:color w:val="000000" w:themeColor="text1"/>
          <w:sz w:val="32"/>
          <w:szCs w:val="32"/>
          <w:highlight w:val="none"/>
          <w14:textFill>
            <w14:solidFill>
              <w14:schemeClr w14:val="tx1"/>
            </w14:solidFill>
          </w14:textFill>
        </w:rPr>
        <w:t>业</w:t>
      </w:r>
      <w:r>
        <w:rPr>
          <w:rFonts w:hint="eastAsia" w:ascii="Times New Roman" w:hAnsi="Times New Roman" w:eastAsia="仿宋_GB2312" w:cs="Times New Roman"/>
          <w:color w:val="000000" w:themeColor="text1"/>
          <w:sz w:val="32"/>
          <w:szCs w:val="32"/>
          <w:highlight w:val="none"/>
          <w:lang w:eastAsia="zh-CN"/>
          <w14:textFill>
            <w14:solidFill>
              <w14:schemeClr w14:val="tx1"/>
            </w14:solidFill>
          </w14:textFill>
        </w:rPr>
        <w:t>高质量</w:t>
      </w:r>
      <w:r>
        <w:rPr>
          <w:rFonts w:ascii="Times New Roman" w:hAnsi="Times New Roman" w:eastAsia="仿宋_GB2312" w:cs="Times New Roman"/>
          <w:color w:val="000000" w:themeColor="text1"/>
          <w:sz w:val="32"/>
          <w:szCs w:val="32"/>
          <w:highlight w:val="none"/>
          <w14:textFill>
            <w14:solidFill>
              <w14:schemeClr w14:val="tx1"/>
            </w14:solidFill>
          </w14:textFill>
        </w:rPr>
        <w:t>发展。</w:t>
      </w:r>
    </w:p>
    <w:bookmarkEnd w:id="2"/>
    <w:p>
      <w:pPr>
        <w:numPr>
          <w:ilvl w:val="0"/>
          <w:numId w:val="0"/>
        </w:numPr>
        <w:adjustRightInd w:val="0"/>
        <w:snapToGrid w:val="0"/>
        <w:spacing w:after="160" w:line="560" w:lineRule="exact"/>
        <w:ind w:firstLine="640" w:firstLineChars="200"/>
        <w:rPr>
          <w:rFonts w:hint="eastAsia" w:ascii="黑体" w:hAnsi="黑体" w:eastAsia="黑体" w:cs="黑体"/>
          <w:sz w:val="32"/>
          <w:szCs w:val="32"/>
          <w:highlight w:val="none"/>
        </w:rPr>
      </w:pPr>
      <w:r>
        <w:rPr>
          <w:rFonts w:hint="eastAsia" w:ascii="黑体" w:hAnsi="黑体" w:eastAsia="黑体" w:cs="黑体"/>
          <w:sz w:val="32"/>
          <w:szCs w:val="32"/>
          <w:highlight w:val="none"/>
          <w:lang w:eastAsia="zh-CN"/>
        </w:rPr>
        <w:t>四、</w:t>
      </w:r>
      <w:r>
        <w:rPr>
          <w:rFonts w:hint="eastAsia" w:ascii="黑体" w:hAnsi="黑体" w:eastAsia="黑体" w:cs="黑体"/>
          <w:sz w:val="32"/>
          <w:szCs w:val="32"/>
          <w:highlight w:val="none"/>
        </w:rPr>
        <w:t>文件合法性</w:t>
      </w:r>
    </w:p>
    <w:p>
      <w:pPr>
        <w:adjustRightInd w:val="0"/>
        <w:snapToGrid w:val="0"/>
        <w:spacing w:line="560" w:lineRule="exact"/>
        <w:ind w:firstLine="640" w:firstLineChars="200"/>
        <w:rPr>
          <w:rFonts w:eastAsia="仿宋_GB2312" w:cs="Times New Roman"/>
          <w:sz w:val="32"/>
          <w:szCs w:val="32"/>
          <w:highlight w:val="none"/>
        </w:rPr>
      </w:pPr>
      <w:bookmarkStart w:id="3" w:name="_Hlk183792535"/>
      <w:bookmarkStart w:id="4" w:name="_Hlk183790586"/>
      <w:r>
        <w:rPr>
          <w:rFonts w:hint="eastAsia" w:ascii="楷体_GB2312" w:hAnsi="楷体_GB2312" w:eastAsia="楷体_GB2312" w:cs="楷体_GB2312"/>
          <w:sz w:val="32"/>
          <w:szCs w:val="32"/>
          <w:highlight w:val="none"/>
        </w:rPr>
        <w:t>（一）制定主体合法。根据</w:t>
      </w:r>
      <w:r>
        <w:rPr>
          <w:rFonts w:hint="eastAsia" w:eastAsia="仿宋_GB2312" w:cs="Times New Roman"/>
          <w:sz w:val="32"/>
          <w:szCs w:val="32"/>
          <w:highlight w:val="none"/>
        </w:rPr>
        <w:t>《政府制定价格行为规则》第三条规定，政府制定价格的范围具体以中央定价目录和地方定价目录为准。经省、自治区、直辖市人民政府授权的市、县人民政府制定价格，具体工作由其所属价格主管部门或者有关部门负责。</w:t>
      </w:r>
      <w:r>
        <w:rPr>
          <w:rFonts w:hint="eastAsia" w:eastAsia="仿宋_GB2312"/>
          <w:sz w:val="32"/>
          <w:szCs w:val="32"/>
          <w:highlight w:val="none"/>
        </w:rPr>
        <w:t>《广东省定价目录（2022年版）》</w:t>
      </w:r>
      <w:r>
        <w:rPr>
          <w:rFonts w:hint="eastAsia" w:ascii="Times New Roman" w:hAnsi="Times New Roman" w:eastAsia="仿宋_GB2312" w:cs="Times New Roman"/>
          <w:sz w:val="32"/>
          <w:szCs w:val="32"/>
          <w:highlight w:val="none"/>
        </w:rPr>
        <w:t>明确将“</w:t>
      </w:r>
      <w:r>
        <w:rPr>
          <w:rFonts w:hint="eastAsia" w:eastAsia="仿宋_GB2312"/>
          <w:sz w:val="32"/>
          <w:szCs w:val="32"/>
          <w:highlight w:val="none"/>
        </w:rPr>
        <w:t>利用公共资源建设的景区门票价格及景区内交通运输服务价格</w:t>
      </w:r>
      <w:r>
        <w:rPr>
          <w:rFonts w:hint="eastAsia" w:ascii="Times New Roman" w:hAnsi="Times New Roman" w:eastAsia="仿宋_GB2312" w:cs="Times New Roman"/>
          <w:sz w:val="32"/>
          <w:szCs w:val="32"/>
          <w:highlight w:val="none"/>
        </w:rPr>
        <w:t>”纳入目录，</w:t>
      </w:r>
      <w:r>
        <w:rPr>
          <w:rFonts w:hint="eastAsia" w:ascii="Times New Roman" w:hAnsi="Times New Roman" w:eastAsia="仿宋_GB2312" w:cs="Times New Roman"/>
          <w:sz w:val="32"/>
          <w:szCs w:val="32"/>
          <w:highlight w:val="none"/>
          <w:lang w:eastAsia="zh-CN"/>
        </w:rPr>
        <w:t>并</w:t>
      </w:r>
      <w:r>
        <w:rPr>
          <w:rFonts w:hint="eastAsia" w:eastAsia="仿宋_GB2312" w:cs="Times New Roman"/>
          <w:sz w:val="32"/>
          <w:szCs w:val="32"/>
          <w:highlight w:val="none"/>
        </w:rPr>
        <w:t>授权市、县人民政府定价。</w:t>
      </w:r>
      <w:r>
        <w:rPr>
          <w:rFonts w:hint="eastAsia" w:ascii="Times New Roman" w:hAnsi="Times New Roman" w:eastAsia="仿宋_GB2312" w:cs="Times New Roman"/>
          <w:sz w:val="32"/>
          <w:szCs w:val="32"/>
          <w:highlight w:val="none"/>
        </w:rPr>
        <w:t>根据《广东省景区门票及</w:t>
      </w:r>
      <w:r>
        <w:rPr>
          <w:rFonts w:hint="eastAsia" w:eastAsia="仿宋_GB2312" w:cs="Times New Roman"/>
          <w:sz w:val="32"/>
          <w:szCs w:val="32"/>
          <w:highlight w:val="none"/>
        </w:rPr>
        <w:t>景区内交通运输服务价格管理办法》第四条规定，各级政府</w:t>
      </w:r>
      <w:r>
        <w:rPr>
          <w:rFonts w:hint="eastAsia" w:eastAsia="仿宋_GB2312" w:cs="Times New Roman"/>
          <w:sz w:val="32"/>
          <w:szCs w:val="32"/>
          <w:highlight w:val="none"/>
          <w:lang w:eastAsia="zh-CN"/>
        </w:rPr>
        <w:t>发展改革</w:t>
      </w:r>
      <w:r>
        <w:rPr>
          <w:rFonts w:hint="eastAsia" w:eastAsia="仿宋_GB2312" w:cs="Times New Roman"/>
          <w:sz w:val="32"/>
          <w:szCs w:val="32"/>
          <w:highlight w:val="none"/>
        </w:rPr>
        <w:t>部门是景区门票及景区内交通运输服务价格的主管部门，依法对景区门票及景区内交通运输服务价格实施管理。由我委牵头制定《办法》符合上述规定。</w:t>
      </w:r>
    </w:p>
    <w:p>
      <w:pPr>
        <w:pStyle w:val="3"/>
        <w:keepNext w:val="0"/>
        <w:keepLines w:val="0"/>
        <w:rPr>
          <w:rFonts w:ascii="Times New Roman" w:hAnsi="Times New Roman" w:cs="Times New Roman"/>
          <w:b w:val="0"/>
          <w:bCs w:val="0"/>
          <w:highlight w:val="none"/>
        </w:rPr>
      </w:pPr>
      <w:r>
        <w:rPr>
          <w:rFonts w:hint="eastAsia" w:ascii="楷体_GB2312" w:hAnsi="楷体_GB2312" w:eastAsia="楷体_GB2312" w:cs="楷体_GB2312"/>
          <w:b w:val="0"/>
          <w:bCs w:val="0"/>
          <w:highlight w:val="none"/>
        </w:rPr>
        <w:t>（二）主要内容合法。</w:t>
      </w:r>
      <w:r>
        <w:rPr>
          <w:rFonts w:hint="eastAsia" w:ascii="Times New Roman" w:hAnsi="Times New Roman" w:cs="Times New Roman"/>
          <w:b w:val="0"/>
          <w:bCs w:val="0"/>
          <w:highlight w:val="none"/>
        </w:rPr>
        <w:t>《</w:t>
      </w:r>
      <w:r>
        <w:rPr>
          <w:rFonts w:hint="eastAsia" w:ascii="Times New Roman" w:hAnsi="Times New Roman" w:eastAsia="仿宋_GB2312" w:cs="Times New Roman"/>
          <w:b w:val="0"/>
          <w:bCs w:val="0"/>
          <w:kern w:val="2"/>
          <w:sz w:val="32"/>
          <w:szCs w:val="32"/>
          <w:highlight w:val="none"/>
          <w:lang w:val="en-US" w:eastAsia="zh-CN" w:bidi="ar-SA"/>
          <w14:ligatures w14:val="standardContextual"/>
        </w:rPr>
        <w:t>办法》明确</w:t>
      </w:r>
      <w:r>
        <w:rPr>
          <w:rFonts w:hint="eastAsia" w:ascii="Times New Roman" w:hAnsi="Times New Roman" w:cs="Times New Roman"/>
          <w:b w:val="0"/>
          <w:bCs w:val="0"/>
          <w:kern w:val="2"/>
          <w:sz w:val="32"/>
          <w:szCs w:val="32"/>
          <w:highlight w:val="none"/>
          <w:lang w:val="en-US" w:eastAsia="zh-CN" w:bidi="ar-SA"/>
          <w14:ligatures w14:val="standardContextual"/>
        </w:rPr>
        <w:t>在</w:t>
      </w:r>
      <w:r>
        <w:rPr>
          <w:rFonts w:hint="default" w:ascii="Times New Roman" w:hAnsi="Times New Roman" w:eastAsia="仿宋_GB2312" w:cs="Times New Roman"/>
          <w:b w:val="0"/>
          <w:bCs w:val="0"/>
          <w:kern w:val="2"/>
          <w:sz w:val="32"/>
          <w:szCs w:val="32"/>
          <w:highlight w:val="none"/>
          <w:lang w:val="en-US" w:eastAsia="zh-CN" w:bidi="ar-SA"/>
          <w14:ligatures w14:val="standardContextual"/>
        </w:rPr>
        <w:t>坚持公益导向，</w:t>
      </w:r>
      <w:r>
        <w:rPr>
          <w:rFonts w:hint="eastAsia" w:ascii="Times New Roman" w:hAnsi="Times New Roman" w:eastAsia="仿宋_GB2312" w:cs="Times New Roman"/>
          <w:b w:val="0"/>
          <w:bCs w:val="0"/>
          <w:kern w:val="2"/>
          <w:sz w:val="32"/>
          <w:szCs w:val="32"/>
          <w:highlight w:val="none"/>
          <w:lang w:val="en-US" w:eastAsia="zh-CN" w:bidi="ar-SA"/>
          <w14:ligatures w14:val="standardContextual"/>
        </w:rPr>
        <w:t>坚持</w:t>
      </w:r>
      <w:r>
        <w:rPr>
          <w:rFonts w:hint="default" w:ascii="Times New Roman" w:hAnsi="Times New Roman" w:eastAsia="仿宋_GB2312" w:cs="Times New Roman"/>
          <w:b w:val="0"/>
          <w:bCs w:val="0"/>
          <w:kern w:val="2"/>
          <w:sz w:val="32"/>
          <w:szCs w:val="32"/>
          <w:highlight w:val="none"/>
          <w:lang w:val="en-US" w:eastAsia="zh-CN" w:bidi="ar-SA"/>
          <w14:ligatures w14:val="standardContextual"/>
        </w:rPr>
        <w:t>公开透明、补偿景区合理成本、适当反映景区价值、有利于保护资源和环境原则的</w:t>
      </w:r>
      <w:r>
        <w:rPr>
          <w:rFonts w:hint="eastAsia" w:ascii="Times New Roman" w:hAnsi="Times New Roman" w:cs="Times New Roman"/>
          <w:b w:val="0"/>
          <w:bCs w:val="0"/>
          <w:kern w:val="2"/>
          <w:sz w:val="32"/>
          <w:szCs w:val="32"/>
          <w:highlight w:val="none"/>
          <w:lang w:val="en-US" w:eastAsia="zh-CN" w:bidi="ar-SA"/>
          <w14:ligatures w14:val="standardContextual"/>
        </w:rPr>
        <w:t>基础上</w:t>
      </w:r>
      <w:r>
        <w:rPr>
          <w:rFonts w:hint="eastAsia" w:ascii="Times New Roman" w:hAnsi="Times New Roman" w:eastAsia="仿宋_GB2312" w:cs="Times New Roman"/>
          <w:b w:val="0"/>
          <w:bCs w:val="0"/>
          <w:kern w:val="2"/>
          <w:sz w:val="32"/>
          <w:szCs w:val="32"/>
          <w:highlight w:val="none"/>
          <w:lang w:val="en-US" w:eastAsia="zh-CN" w:bidi="ar-SA"/>
          <w14:ligatures w14:val="standardContextual"/>
        </w:rPr>
        <w:t>，明确了景区门票及相关服务收费行为、政府定价规范、优惠政策、监督管理等</w:t>
      </w:r>
      <w:r>
        <w:rPr>
          <w:rFonts w:hint="eastAsia" w:ascii="Times New Roman" w:hAnsi="Times New Roman" w:cs="Times New Roman"/>
          <w:b w:val="0"/>
          <w:bCs w:val="0"/>
          <w:kern w:val="2"/>
          <w:sz w:val="32"/>
          <w:szCs w:val="32"/>
          <w:highlight w:val="none"/>
          <w:lang w:val="en-US" w:eastAsia="zh-CN" w:bidi="ar-SA"/>
          <w14:ligatures w14:val="standardContextual"/>
        </w:rPr>
        <w:t>方面的要求</w:t>
      </w:r>
      <w:r>
        <w:rPr>
          <w:rFonts w:hint="eastAsia" w:ascii="Times New Roman" w:hAnsi="Times New Roman" w:eastAsia="仿宋_GB2312" w:cs="Times New Roman"/>
          <w:b w:val="0"/>
          <w:bCs w:val="0"/>
          <w:kern w:val="2"/>
          <w:sz w:val="32"/>
          <w:szCs w:val="32"/>
          <w:highlight w:val="none"/>
          <w:lang w:val="en-US" w:eastAsia="zh-CN" w:bidi="ar-SA"/>
          <w14:ligatures w14:val="standardContextual"/>
        </w:rPr>
        <w:t>，相关内容</w:t>
      </w:r>
      <w:r>
        <w:rPr>
          <w:rFonts w:hint="eastAsia" w:ascii="Times New Roman" w:hAnsi="Times New Roman" w:cs="Times New Roman"/>
          <w:b w:val="0"/>
          <w:bCs w:val="0"/>
          <w:kern w:val="2"/>
          <w:sz w:val="32"/>
          <w:szCs w:val="32"/>
          <w:highlight w:val="none"/>
          <w:lang w:val="en-US" w:eastAsia="zh-CN" w:bidi="ar-SA"/>
          <w14:ligatures w14:val="standardContextual"/>
        </w:rPr>
        <w:t>符合</w:t>
      </w:r>
      <w:r>
        <w:rPr>
          <w:rFonts w:hint="eastAsia" w:ascii="Times New Roman" w:hAnsi="Times New Roman" w:eastAsia="仿宋_GB2312" w:cs="Times New Roman"/>
          <w:b w:val="0"/>
          <w:bCs w:val="0"/>
          <w:kern w:val="2"/>
          <w:sz w:val="32"/>
          <w:szCs w:val="32"/>
          <w:highlight w:val="none"/>
          <w:lang w:val="en-US" w:eastAsia="zh-CN" w:bidi="ar-SA"/>
          <w14:ligatures w14:val="standardContextual"/>
        </w:rPr>
        <w:t>《中华人民共和国旅游法》《广东省景区门票及景区内交通运输价格管理办法》等政策要求。</w:t>
      </w:r>
    </w:p>
    <w:p>
      <w:pPr>
        <w:adjustRightInd w:val="0"/>
        <w:snapToGrid w:val="0"/>
        <w:spacing w:line="560" w:lineRule="exact"/>
        <w:ind w:firstLine="640" w:firstLineChars="200"/>
        <w:rPr>
          <w:rFonts w:eastAsia="仿宋_GB2312" w:cs="Times New Roman"/>
          <w:sz w:val="32"/>
          <w:szCs w:val="32"/>
          <w:highlight w:val="none"/>
        </w:rPr>
      </w:pPr>
      <w:r>
        <w:rPr>
          <w:rFonts w:hint="eastAsia" w:eastAsia="楷体_GB2312" w:cs="Times New Roman"/>
          <w:sz w:val="32"/>
          <w:szCs w:val="32"/>
          <w:highlight w:val="none"/>
        </w:rPr>
        <w:t>（三）</w:t>
      </w:r>
      <w:r>
        <w:rPr>
          <w:rFonts w:eastAsia="楷体_GB2312" w:cs="Times New Roman"/>
          <w:sz w:val="32"/>
          <w:szCs w:val="32"/>
          <w:highlight w:val="none"/>
        </w:rPr>
        <w:t>制定程序合法。</w:t>
      </w:r>
      <w:r>
        <w:rPr>
          <w:rFonts w:hint="eastAsia" w:eastAsia="仿宋_GB2312" w:cs="Times New Roman"/>
          <w:sz w:val="32"/>
          <w:szCs w:val="32"/>
          <w:highlight w:val="none"/>
        </w:rPr>
        <w:t>《办法》</w:t>
      </w:r>
      <w:r>
        <w:rPr>
          <w:rFonts w:hint="eastAsia" w:ascii="Times New Roman" w:hAnsi="Times New Roman" w:eastAsia="仿宋_GB2312" w:cs="Times New Roman"/>
          <w:sz w:val="32"/>
          <w:szCs w:val="32"/>
          <w:highlight w:val="none"/>
        </w:rPr>
        <w:t>已广泛征求省、市相关部门、</w:t>
      </w:r>
      <w:r>
        <w:rPr>
          <w:rFonts w:hint="eastAsia" w:ascii="Times New Roman" w:hAnsi="Times New Roman" w:eastAsia="仿宋_GB2312" w:cs="Times New Roman"/>
          <w:sz w:val="32"/>
          <w:szCs w:val="32"/>
          <w:highlight w:val="none"/>
          <w:lang w:eastAsia="zh-CN"/>
        </w:rPr>
        <w:t>景区经营者</w:t>
      </w:r>
      <w:r>
        <w:rPr>
          <w:rFonts w:hint="eastAsia" w:ascii="Times New Roman" w:hAnsi="Times New Roman" w:eastAsia="仿宋_GB2312" w:cs="Times New Roman"/>
          <w:sz w:val="32"/>
          <w:szCs w:val="32"/>
          <w:highlight w:val="none"/>
        </w:rPr>
        <w:t>意见，并进行了修改完善。在公开征求公众意见后，将按照《广州市行政规范性文件管理规定》的有关要求，按程序开展合法性审查、公平竞争审查、集体审议等相关工作</w:t>
      </w:r>
      <w:r>
        <w:rPr>
          <w:rFonts w:hint="eastAsia" w:eastAsia="仿宋_GB2312" w:cs="Times New Roman"/>
          <w:sz w:val="32"/>
          <w:szCs w:val="32"/>
          <w:highlight w:val="none"/>
        </w:rPr>
        <w:t>。</w:t>
      </w:r>
    </w:p>
    <w:bookmarkEnd w:id="3"/>
    <w:p>
      <w:pPr>
        <w:numPr>
          <w:ilvl w:val="0"/>
          <w:numId w:val="0"/>
        </w:numPr>
        <w:adjustRightInd w:val="0"/>
        <w:snapToGrid w:val="0"/>
        <w:spacing w:after="160" w:line="560" w:lineRule="exact"/>
        <w:ind w:firstLine="640" w:firstLineChars="200"/>
        <w:rPr>
          <w:rFonts w:hint="eastAsia" w:ascii="黑体" w:hAnsi="黑体" w:eastAsia="黑体" w:cs="黑体"/>
          <w:sz w:val="32"/>
          <w:szCs w:val="32"/>
          <w:highlight w:val="none"/>
        </w:rPr>
      </w:pPr>
      <w:r>
        <w:rPr>
          <w:rFonts w:hint="eastAsia" w:ascii="黑体" w:hAnsi="黑体" w:eastAsia="黑体" w:cs="黑体"/>
          <w:sz w:val="32"/>
          <w:szCs w:val="32"/>
          <w:highlight w:val="none"/>
          <w:lang w:eastAsia="zh-CN"/>
        </w:rPr>
        <w:t>五、文件</w:t>
      </w:r>
      <w:r>
        <w:rPr>
          <w:rFonts w:hint="eastAsia" w:ascii="黑体" w:hAnsi="黑体" w:eastAsia="黑体" w:cs="黑体"/>
          <w:sz w:val="32"/>
          <w:szCs w:val="32"/>
          <w:highlight w:val="none"/>
        </w:rPr>
        <w:t>合理性</w:t>
      </w:r>
    </w:p>
    <w:bookmarkEnd w:id="4"/>
    <w:p>
      <w:pPr>
        <w:adjustRightInd w:val="0"/>
        <w:snapToGrid w:val="0"/>
        <w:spacing w:line="560" w:lineRule="exact"/>
        <w:ind w:firstLine="640" w:firstLineChars="200"/>
        <w:rPr>
          <w:rFonts w:eastAsia="仿宋_GB2312" w:cs="Times New Roman"/>
          <w:sz w:val="32"/>
          <w:szCs w:val="32"/>
          <w:highlight w:val="none"/>
        </w:rPr>
      </w:pPr>
      <w:bookmarkStart w:id="5" w:name="_Hlk183790527"/>
      <w:r>
        <w:rPr>
          <w:rFonts w:hint="eastAsia" w:eastAsia="仿宋_GB2312" w:cs="Times New Roman"/>
          <w:sz w:val="32"/>
          <w:szCs w:val="32"/>
          <w:highlight w:val="none"/>
        </w:rPr>
        <w:t>一方面，《办法》按照国家、省关于景区门票及景区内相关服务收费管理的有关要求，借鉴相关省市的具体做法，并结合我市相关文件执行的实际情况，就进一步规范全市景区门票及景区内相关服务收费作出统一规定，既符合法律法规的有关规定，又贴合广州实际，具有较强的操作性。</w:t>
      </w:r>
    </w:p>
    <w:p>
      <w:pPr>
        <w:adjustRightInd w:val="0"/>
        <w:snapToGrid w:val="0"/>
        <w:spacing w:line="560" w:lineRule="exact"/>
        <w:ind w:firstLine="640" w:firstLineChars="200"/>
        <w:rPr>
          <w:rFonts w:hint="eastAsia" w:ascii="Times New Roman" w:hAnsi="Times New Roman" w:eastAsia="仿宋_GB2312" w:cs="Times New Roman"/>
          <w:sz w:val="32"/>
          <w:szCs w:val="32"/>
          <w:highlight w:val="none"/>
        </w:rPr>
      </w:pPr>
      <w:r>
        <w:rPr>
          <w:rFonts w:hint="eastAsia" w:eastAsia="仿宋_GB2312" w:cs="Times New Roman"/>
          <w:sz w:val="32"/>
          <w:szCs w:val="32"/>
          <w:highlight w:val="none"/>
        </w:rPr>
        <w:t>另一方面，</w:t>
      </w:r>
      <w:r>
        <w:rPr>
          <w:rFonts w:hint="eastAsia" w:ascii="Times New Roman" w:hAnsi="Times New Roman" w:eastAsia="仿宋_GB2312" w:cs="Times New Roman"/>
          <w:sz w:val="32"/>
          <w:szCs w:val="32"/>
          <w:highlight w:val="none"/>
          <w:lang w:eastAsia="zh-CN"/>
        </w:rPr>
        <w:t>《办法》在</w:t>
      </w:r>
      <w:r>
        <w:rPr>
          <w:rFonts w:hint="default" w:ascii="Times New Roman" w:hAnsi="Times New Roman" w:eastAsia="仿宋_GB2312" w:cs="Times New Roman"/>
          <w:sz w:val="32"/>
          <w:szCs w:val="32"/>
          <w:highlight w:val="none"/>
        </w:rPr>
        <w:t>坚持</w:t>
      </w:r>
      <w:r>
        <w:rPr>
          <w:rFonts w:hint="eastAsia" w:ascii="Times New Roman" w:hAnsi="Times New Roman" w:eastAsia="仿宋_GB2312" w:cs="Times New Roman"/>
          <w:sz w:val="32"/>
          <w:szCs w:val="32"/>
          <w:highlight w:val="none"/>
          <w:lang w:eastAsia="zh-CN"/>
        </w:rPr>
        <w:t>景区</w:t>
      </w:r>
      <w:r>
        <w:rPr>
          <w:rFonts w:hint="default" w:ascii="Times New Roman" w:hAnsi="Times New Roman" w:eastAsia="仿宋_GB2312" w:cs="Times New Roman"/>
          <w:sz w:val="32"/>
          <w:szCs w:val="32"/>
          <w:highlight w:val="none"/>
        </w:rPr>
        <w:t>公益导向</w:t>
      </w:r>
      <w:r>
        <w:rPr>
          <w:rFonts w:hint="eastAsia" w:ascii="Times New Roman" w:hAnsi="Times New Roman" w:eastAsia="仿宋_GB2312" w:cs="Times New Roman"/>
          <w:sz w:val="32"/>
          <w:szCs w:val="32"/>
          <w:highlight w:val="none"/>
          <w:lang w:eastAsia="zh-CN"/>
        </w:rPr>
        <w:t>的基础上</w:t>
      </w:r>
      <w:r>
        <w:rPr>
          <w:rFonts w:hint="default" w:ascii="Times New Roman" w:hAnsi="Times New Roman" w:eastAsia="仿宋_GB2312" w:cs="Times New Roman"/>
          <w:sz w:val="32"/>
          <w:szCs w:val="32"/>
          <w:highlight w:val="none"/>
        </w:rPr>
        <w:t>，</w:t>
      </w:r>
      <w:r>
        <w:rPr>
          <w:rFonts w:hint="eastAsia" w:ascii="Times New Roman" w:hAnsi="Times New Roman" w:eastAsia="仿宋_GB2312" w:cs="Times New Roman"/>
          <w:sz w:val="32"/>
          <w:szCs w:val="32"/>
          <w:highlight w:val="none"/>
          <w:lang w:eastAsia="zh-CN"/>
        </w:rPr>
        <w:t>明确在景区内举办确有观赏性且成本较高的临时</w:t>
      </w:r>
      <w:r>
        <w:rPr>
          <w:rFonts w:hint="default" w:ascii="Times New Roman" w:hAnsi="Times New Roman" w:eastAsia="仿宋_GB2312" w:cs="Times New Roman"/>
          <w:sz w:val="32"/>
          <w:szCs w:val="32"/>
          <w:highlight w:val="none"/>
        </w:rPr>
        <w:t>活动</w:t>
      </w:r>
      <w:r>
        <w:rPr>
          <w:rFonts w:hint="eastAsia" w:ascii="Times New Roman" w:hAnsi="Times New Roman" w:eastAsia="仿宋_GB2312" w:cs="Times New Roman"/>
          <w:sz w:val="32"/>
          <w:szCs w:val="32"/>
          <w:highlight w:val="none"/>
          <w:lang w:eastAsia="zh-CN"/>
        </w:rPr>
        <w:t>经批准可适当收取费用，并就</w:t>
      </w:r>
      <w:r>
        <w:rPr>
          <w:rFonts w:hint="eastAsia" w:ascii="Times New Roman" w:hAnsi="Times New Roman" w:eastAsia="仿宋_GB2312" w:cs="Times New Roman"/>
          <w:sz w:val="32"/>
          <w:szCs w:val="32"/>
          <w:highlight w:val="none"/>
        </w:rPr>
        <w:t>景区门票及相关服务的免费情形、</w:t>
      </w:r>
      <w:r>
        <w:rPr>
          <w:rFonts w:hint="eastAsia" w:ascii="Times New Roman" w:hAnsi="Times New Roman" w:eastAsia="仿宋_GB2312" w:cs="Times New Roman"/>
          <w:sz w:val="32"/>
          <w:szCs w:val="32"/>
          <w:highlight w:val="none"/>
          <w:lang w:val="en-US" w:eastAsia="zh-CN"/>
        </w:rPr>
        <w:t>政府定价规范、优惠政策、监督管理等方面的要求</w:t>
      </w:r>
      <w:r>
        <w:rPr>
          <w:rFonts w:hint="eastAsia" w:ascii="Times New Roman" w:hAnsi="Times New Roman" w:eastAsia="仿宋_GB2312" w:cs="Times New Roman"/>
          <w:sz w:val="32"/>
          <w:szCs w:val="32"/>
          <w:lang w:eastAsia="zh-CN"/>
        </w:rPr>
        <w:t>均作出了明确规定</w:t>
      </w:r>
      <w:r>
        <w:rPr>
          <w:rFonts w:hint="eastAsia" w:ascii="Times New Roman" w:hAnsi="Times New Roman" w:eastAsia="仿宋_GB2312" w:cs="Times New Roman"/>
          <w:sz w:val="32"/>
          <w:szCs w:val="32"/>
          <w:highlight w:val="none"/>
          <w:lang w:val="en-US" w:eastAsia="zh-CN"/>
        </w:rPr>
        <w:t>，</w:t>
      </w:r>
      <w:r>
        <w:rPr>
          <w:rFonts w:hint="eastAsia" w:ascii="Times New Roman" w:hAnsi="Times New Roman" w:eastAsia="仿宋_GB2312" w:cs="Times New Roman"/>
          <w:sz w:val="32"/>
          <w:szCs w:val="32"/>
          <w:highlight w:val="none"/>
        </w:rPr>
        <w:t>具有较强的针对性。</w:t>
      </w:r>
    </w:p>
    <w:bookmarkEnd w:id="5"/>
    <w:p>
      <w:pPr>
        <w:numPr>
          <w:ilvl w:val="0"/>
          <w:numId w:val="0"/>
        </w:numPr>
        <w:adjustRightInd w:val="0"/>
        <w:snapToGrid w:val="0"/>
        <w:spacing w:line="560" w:lineRule="exact"/>
        <w:ind w:firstLine="640" w:firstLineChars="200"/>
        <w:rPr>
          <w:rFonts w:hint="eastAsia" w:ascii="黑体" w:hAnsi="黑体" w:eastAsia="黑体" w:cs="黑体"/>
          <w:sz w:val="32"/>
          <w:szCs w:val="32"/>
        </w:rPr>
      </w:pPr>
      <w:bookmarkStart w:id="6" w:name="_Hlk183792567"/>
      <w:r>
        <w:rPr>
          <w:rFonts w:hint="eastAsia" w:ascii="黑体" w:hAnsi="黑体" w:eastAsia="黑体" w:cs="黑体"/>
          <w:sz w:val="32"/>
          <w:szCs w:val="32"/>
          <w:lang w:eastAsia="zh-CN"/>
        </w:rPr>
        <w:t>六、</w:t>
      </w:r>
      <w:r>
        <w:rPr>
          <w:rFonts w:hint="eastAsia" w:ascii="黑体" w:hAnsi="黑体" w:eastAsia="黑体" w:cs="黑体"/>
          <w:sz w:val="32"/>
          <w:szCs w:val="32"/>
        </w:rPr>
        <w:t>文件出台后的预期效果和影响评估</w:t>
      </w:r>
    </w:p>
    <w:p>
      <w:pPr>
        <w:spacing w:line="560" w:lineRule="exact"/>
        <w:ind w:firstLine="640" w:firstLineChars="200"/>
        <w:rPr>
          <w:rFonts w:hint="eastAsia" w:ascii="仿宋" w:hAnsi="仿宋" w:eastAsia="仿宋" w:cs="仿宋"/>
          <w:sz w:val="32"/>
          <w:szCs w:val="32"/>
        </w:rPr>
      </w:pPr>
      <w:r>
        <w:rPr>
          <w:rFonts w:hint="eastAsia" w:eastAsia="仿宋_GB2312" w:cs="Times New Roman"/>
          <w:sz w:val="32"/>
          <w:szCs w:val="32"/>
        </w:rPr>
        <w:t>《办法》作为我市景区门票及景区内相关服务价格管理的统一规范性文件，</w:t>
      </w:r>
      <w:r>
        <w:rPr>
          <w:rFonts w:hint="eastAsia" w:ascii="Times New Roman" w:hAnsi="Times New Roman" w:eastAsia="仿宋_GB2312" w:cs="Times New Roman"/>
          <w:sz w:val="32"/>
          <w:szCs w:val="32"/>
          <w:lang w:eastAsia="zh-CN"/>
        </w:rPr>
        <w:t>就</w:t>
      </w:r>
      <w:r>
        <w:rPr>
          <w:rFonts w:hint="eastAsia" w:ascii="Times New Roman" w:hAnsi="Times New Roman" w:eastAsia="仿宋_GB2312" w:cs="Times New Roman"/>
          <w:sz w:val="32"/>
          <w:szCs w:val="32"/>
        </w:rPr>
        <w:t>景区门票及相关服务的免费情形、</w:t>
      </w:r>
      <w:r>
        <w:rPr>
          <w:rFonts w:hint="eastAsia" w:ascii="Times New Roman" w:hAnsi="Times New Roman" w:eastAsia="仿宋_GB2312" w:cs="Times New Roman"/>
          <w:sz w:val="32"/>
          <w:szCs w:val="32"/>
          <w:lang w:val="en-US" w:eastAsia="zh-CN"/>
        </w:rPr>
        <w:t>政府定价规范、优惠政策、监督管理等方面的要求</w:t>
      </w:r>
      <w:r>
        <w:rPr>
          <w:rFonts w:hint="eastAsia" w:ascii="Times New Roman" w:hAnsi="Times New Roman" w:eastAsia="仿宋_GB2312" w:cs="Times New Roman"/>
          <w:sz w:val="32"/>
          <w:szCs w:val="32"/>
          <w:lang w:eastAsia="zh-CN"/>
        </w:rPr>
        <w:t>均作出了明确规定</w:t>
      </w:r>
      <w:r>
        <w:rPr>
          <w:rFonts w:hint="eastAsia" w:ascii="Times New Roman" w:hAnsi="Times New Roman" w:eastAsia="仿宋_GB2312" w:cs="Times New Roman"/>
          <w:sz w:val="32"/>
          <w:szCs w:val="32"/>
          <w:lang w:val="en-US" w:eastAsia="zh-CN"/>
        </w:rPr>
        <w:t>，</w:t>
      </w:r>
      <w:r>
        <w:rPr>
          <w:rFonts w:hint="eastAsia" w:eastAsia="仿宋_GB2312" w:cs="Times New Roman"/>
          <w:sz w:val="32"/>
          <w:szCs w:val="32"/>
        </w:rPr>
        <w:t>将</w:t>
      </w:r>
      <w:r>
        <w:rPr>
          <w:rFonts w:hint="eastAsia" w:ascii="Times New Roman" w:hAnsi="Times New Roman" w:eastAsia="仿宋_GB2312" w:cs="Times New Roman"/>
          <w:color w:val="000000" w:themeColor="text1"/>
          <w:sz w:val="32"/>
          <w:szCs w:val="32"/>
          <w:lang w:eastAsia="zh-CN"/>
          <w14:textFill>
            <w14:solidFill>
              <w14:schemeClr w14:val="tx1"/>
            </w14:solidFill>
          </w14:textFill>
        </w:rPr>
        <w:t>进一步规范我市景区门票及相关服务价格行为，</w:t>
      </w:r>
      <w:r>
        <w:rPr>
          <w:rFonts w:hint="eastAsia" w:ascii="Times New Roman" w:hAnsi="Times New Roman" w:eastAsia="仿宋_GB2312" w:cs="Times New Roman"/>
          <w:color w:val="000000" w:themeColor="text1"/>
          <w:sz w:val="32"/>
          <w:szCs w:val="32"/>
          <w14:textFill>
            <w14:solidFill>
              <w14:schemeClr w14:val="tx1"/>
            </w14:solidFill>
          </w14:textFill>
        </w:rPr>
        <w:t>有效</w:t>
      </w:r>
      <w:r>
        <w:rPr>
          <w:rFonts w:ascii="Times New Roman" w:hAnsi="Times New Roman" w:eastAsia="仿宋_GB2312" w:cs="Times New Roman"/>
          <w:color w:val="000000" w:themeColor="text1"/>
          <w:sz w:val="32"/>
          <w:szCs w:val="32"/>
          <w14:textFill>
            <w14:solidFill>
              <w14:schemeClr w14:val="tx1"/>
            </w14:solidFill>
          </w14:textFill>
        </w:rPr>
        <w:t>维护</w:t>
      </w:r>
      <w:r>
        <w:rPr>
          <w:rFonts w:hint="eastAsia" w:ascii="Times New Roman" w:hAnsi="Times New Roman" w:eastAsia="仿宋_GB2312" w:cs="Times New Roman"/>
          <w:color w:val="000000" w:themeColor="text1"/>
          <w:sz w:val="32"/>
          <w:szCs w:val="32"/>
          <w:lang w:eastAsia="zh-CN"/>
          <w14:textFill>
            <w14:solidFill>
              <w14:schemeClr w14:val="tx1"/>
            </w14:solidFill>
          </w14:textFill>
        </w:rPr>
        <w:t>广大游客</w:t>
      </w:r>
      <w:r>
        <w:rPr>
          <w:rFonts w:ascii="Times New Roman" w:hAnsi="Times New Roman" w:eastAsia="仿宋_GB2312" w:cs="Times New Roman"/>
          <w:color w:val="000000" w:themeColor="text1"/>
          <w:sz w:val="32"/>
          <w:szCs w:val="32"/>
          <w14:textFill>
            <w14:solidFill>
              <w14:schemeClr w14:val="tx1"/>
            </w14:solidFill>
          </w14:textFill>
        </w:rPr>
        <w:t>合法权益，促进</w:t>
      </w:r>
      <w:r>
        <w:rPr>
          <w:rFonts w:hint="eastAsia" w:ascii="Times New Roman" w:hAnsi="Times New Roman" w:eastAsia="仿宋_GB2312" w:cs="Times New Roman"/>
          <w:color w:val="000000" w:themeColor="text1"/>
          <w:sz w:val="32"/>
          <w:szCs w:val="32"/>
          <w:lang w:eastAsia="zh-CN"/>
          <w14:textFill>
            <w14:solidFill>
              <w14:schemeClr w14:val="tx1"/>
            </w14:solidFill>
          </w14:textFill>
        </w:rPr>
        <w:t>我市旅游</w:t>
      </w:r>
      <w:r>
        <w:rPr>
          <w:rFonts w:ascii="Times New Roman" w:hAnsi="Times New Roman" w:eastAsia="仿宋_GB2312" w:cs="Times New Roman"/>
          <w:color w:val="000000" w:themeColor="text1"/>
          <w:sz w:val="32"/>
          <w:szCs w:val="32"/>
          <w14:textFill>
            <w14:solidFill>
              <w14:schemeClr w14:val="tx1"/>
            </w14:solidFill>
          </w14:textFill>
        </w:rPr>
        <w:t>业</w:t>
      </w:r>
      <w:r>
        <w:rPr>
          <w:rFonts w:hint="eastAsia" w:ascii="Times New Roman" w:hAnsi="Times New Roman" w:eastAsia="仿宋_GB2312" w:cs="Times New Roman"/>
          <w:color w:val="000000" w:themeColor="text1"/>
          <w:sz w:val="32"/>
          <w:szCs w:val="32"/>
          <w:lang w:eastAsia="zh-CN"/>
          <w14:textFill>
            <w14:solidFill>
              <w14:schemeClr w14:val="tx1"/>
            </w14:solidFill>
          </w14:textFill>
        </w:rPr>
        <w:t>高质量</w:t>
      </w:r>
      <w:r>
        <w:rPr>
          <w:rFonts w:ascii="Times New Roman" w:hAnsi="Times New Roman" w:eastAsia="仿宋_GB2312" w:cs="Times New Roman"/>
          <w:color w:val="000000" w:themeColor="text1"/>
          <w:sz w:val="32"/>
          <w:szCs w:val="32"/>
          <w14:textFill>
            <w14:solidFill>
              <w14:schemeClr w14:val="tx1"/>
            </w14:solidFill>
          </w14:textFill>
        </w:rPr>
        <w:t>发展。</w:t>
      </w:r>
    </w:p>
    <w:bookmarkEnd w:id="6"/>
    <w:p>
      <w:pPr>
        <w:numPr>
          <w:ilvl w:val="0"/>
          <w:numId w:val="0"/>
        </w:numPr>
        <w:adjustRightInd w:val="0"/>
        <w:snapToGrid w:val="0"/>
        <w:spacing w:line="560" w:lineRule="exact"/>
        <w:ind w:firstLine="640" w:firstLineChars="200"/>
        <w:rPr>
          <w:rFonts w:hint="eastAsia" w:ascii="黑体" w:hAnsi="黑体" w:eastAsia="黑体" w:cs="黑体"/>
          <w:sz w:val="32"/>
          <w:szCs w:val="32"/>
        </w:rPr>
      </w:pPr>
      <w:r>
        <w:rPr>
          <w:rFonts w:hint="eastAsia" w:ascii="黑体" w:hAnsi="黑体" w:eastAsia="黑体" w:cs="黑体"/>
          <w:sz w:val="32"/>
          <w:szCs w:val="32"/>
          <w:lang w:eastAsia="zh-CN"/>
        </w:rPr>
        <w:t>七、</w:t>
      </w:r>
      <w:r>
        <w:rPr>
          <w:rFonts w:hint="eastAsia" w:ascii="黑体" w:hAnsi="黑体" w:eastAsia="黑体" w:cs="黑体"/>
          <w:sz w:val="32"/>
          <w:szCs w:val="32"/>
        </w:rPr>
        <w:t>评估结论</w:t>
      </w:r>
    </w:p>
    <w:p>
      <w:pPr>
        <w:adjustRightInd w:val="0"/>
        <w:snapToGrid w:val="0"/>
        <w:spacing w:line="560" w:lineRule="exact"/>
        <w:ind w:firstLine="640" w:firstLineChars="200"/>
        <w:rPr>
          <w:rFonts w:eastAsia="仿宋_GB2312" w:cs="Times New Roman"/>
          <w:sz w:val="32"/>
          <w:szCs w:val="32"/>
        </w:rPr>
      </w:pPr>
      <w:r>
        <w:rPr>
          <w:rFonts w:hint="eastAsia" w:eastAsia="仿宋_GB2312" w:cs="Times New Roman"/>
          <w:sz w:val="32"/>
          <w:szCs w:val="32"/>
        </w:rPr>
        <w:t>《办法》严格落实规范性文件制定的程序要求，广泛听取了各方面意见，制定主体、主要内容、</w:t>
      </w:r>
      <w:r>
        <w:rPr>
          <w:rFonts w:eastAsia="仿宋_GB2312" w:cs="Times New Roman"/>
          <w:sz w:val="32"/>
          <w:szCs w:val="32"/>
        </w:rPr>
        <w:t>制定程序合法</w:t>
      </w:r>
      <w:r>
        <w:rPr>
          <w:rFonts w:hint="eastAsia" w:eastAsia="仿宋_GB2312" w:cs="Times New Roman"/>
          <w:sz w:val="32"/>
          <w:szCs w:val="32"/>
        </w:rPr>
        <w:t>。《办法》关于景区门票及景区内相关服务价格管理的有关规定</w:t>
      </w:r>
      <w:r>
        <w:rPr>
          <w:rFonts w:hint="eastAsia" w:eastAsia="仿宋_GB2312" w:cs="Times New Roman"/>
          <w:sz w:val="32"/>
          <w:szCs w:val="32"/>
          <w:lang w:eastAsia="zh-CN"/>
        </w:rPr>
        <w:t>既严格落实国家、省的政策要求，又</w:t>
      </w:r>
      <w:r>
        <w:rPr>
          <w:rFonts w:hint="eastAsia" w:eastAsia="仿宋_GB2312" w:cs="Times New Roman"/>
          <w:sz w:val="32"/>
          <w:szCs w:val="32"/>
        </w:rPr>
        <w:t>符合广州实际，具有较强的合理性和可行性，能够有效规范景区的价格管理行为</w:t>
      </w:r>
      <w:r>
        <w:rPr>
          <w:rFonts w:hint="eastAsia" w:eastAsia="仿宋_GB2312" w:cs="Times New Roman"/>
          <w:sz w:val="32"/>
          <w:szCs w:val="32"/>
          <w:lang w:eastAsia="zh-CN"/>
        </w:rPr>
        <w:t>，保障广大游客合法权益，促进我市旅游业高质量发展</w:t>
      </w:r>
      <w:r>
        <w:rPr>
          <w:rFonts w:hint="eastAsia" w:eastAsia="仿宋_GB2312" w:cs="Times New Roman"/>
          <w:sz w:val="32"/>
          <w:szCs w:val="32"/>
        </w:rPr>
        <w:t>。</w:t>
      </w:r>
    </w:p>
    <w:p/>
    <w:sectPr>
      <w:footerReference r:id="rId3" w:type="default"/>
      <w:pgSz w:w="11906" w:h="16838"/>
      <w:pgMar w:top="1440" w:right="1800" w:bottom="1440" w:left="1800" w:header="851" w:footer="992" w:gutter="0"/>
      <w:pgNumType w:fmt="numberInDash"/>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auto"/>
    <w:pitch w:val="default"/>
    <w:sig w:usb0="E0002AFF" w:usb1="C0007841" w:usb2="00000009" w:usb3="00000000" w:csb0="400001FF" w:csb1="FFFF0000"/>
  </w:font>
  <w:font w:name="宋体">
    <w:altName w:val="方正书宋_GBK"/>
    <w:panose1 w:val="00000000000000000000"/>
    <w:charset w:val="00"/>
    <w:family w:val="auto"/>
    <w:pitch w:val="default"/>
    <w:sig w:usb0="00000000" w:usb1="00000000" w:usb2="00000000" w:usb3="00000000" w:csb0="00000000" w:csb1="00000000"/>
  </w:font>
  <w:font w:name="Wingdings">
    <w:altName w:val="Standard Symbols PS"/>
    <w:panose1 w:val="05000000000000000000"/>
    <w:charset w:val="02"/>
    <w:family w:val="auto"/>
    <w:pitch w:val="default"/>
    <w:sig w:usb0="00000000" w:usb1="00000000" w:usb2="00000000" w:usb3="00000000" w:csb0="80000000" w:csb1="00000000"/>
  </w:font>
  <w:font w:name="Arial">
    <w:altName w:val="Times New Roman"/>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altName w:val="Standard Symbols PS"/>
    <w:panose1 w:val="05050102010706020507"/>
    <w:charset w:val="02"/>
    <w:family w:val="roman"/>
    <w:pitch w:val="default"/>
    <w:sig w:usb0="00000000" w:usb1="00000000" w:usb2="00000000" w:usb3="00000000" w:csb0="80000000" w:csb1="00000000"/>
  </w:font>
  <w:font w:name="Calibri">
    <w:altName w:val="DejaVu Sans"/>
    <w:panose1 w:val="020F0502020204030204"/>
    <w:charset w:val="00"/>
    <w:family w:val="swiss"/>
    <w:pitch w:val="default"/>
    <w:sig w:usb0="00000000" w:usb1="00000000" w:usb2="00000001" w:usb3="00000000" w:csb0="0000019F" w:csb1="00000000"/>
  </w:font>
  <w:font w:name="等线">
    <w:altName w:val="华文仿宋"/>
    <w:panose1 w:val="02010600030101010101"/>
    <w:charset w:val="86"/>
    <w:family w:val="auto"/>
    <w:pitch w:val="default"/>
    <w:sig w:usb0="00000000" w:usb1="00000000" w:usb2="00000016" w:usb3="00000000" w:csb0="0004000F" w:csb1="00000000"/>
  </w:font>
  <w:font w:name="等线">
    <w:altName w:val="汉仪仿宋S"/>
    <w:panose1 w:val="00000000000000000000"/>
    <w:charset w:val="86"/>
    <w:family w:val="auto"/>
    <w:pitch w:val="default"/>
    <w:sig w:usb0="00000000" w:usb1="00000000" w:usb2="00000000" w:usb3="00000000" w:csb0="00000000" w:csb1="00000000"/>
  </w:font>
  <w:font w:name="等线">
    <w:altName w:val="URW Bookman"/>
    <w:panose1 w:val="00000000000000000000"/>
    <w:charset w:val="00"/>
    <w:family w:val="auto"/>
    <w:pitch w:val="default"/>
    <w:sig w:usb0="00000000" w:usb1="00000000" w:usb2="00000000" w:usb3="00000000" w:csb0="00000000" w:csb1="00000000"/>
  </w:font>
  <w:font w:name="仿宋_GB2312">
    <w:panose1 w:val="02010609030101010101"/>
    <w:charset w:val="86"/>
    <w:family w:val="modern"/>
    <w:pitch w:val="default"/>
    <w:sig w:usb0="00000001" w:usb1="080E0000" w:usb2="00000000" w:usb3="00000000" w:csb0="00040000" w:csb1="00000000"/>
  </w:font>
  <w:font w:name="方正仿宋_GBK">
    <w:panose1 w:val="02000000000000000000"/>
    <w:charset w:val="86"/>
    <w:family w:val="auto"/>
    <w:pitch w:val="default"/>
    <w:sig w:usb0="00000001" w:usb1="08000000" w:usb2="00000000" w:usb3="00000000" w:csb0="00040000" w:csb1="00000000"/>
  </w:font>
  <w:font w:name="方正小标宋简体">
    <w:panose1 w:val="02000000000000000000"/>
    <w:charset w:val="86"/>
    <w:family w:val="auto"/>
    <w:pitch w:val="default"/>
    <w:sig w:usb0="A00002BF" w:usb1="184F6CFA" w:usb2="00000012" w:usb3="00000000" w:csb0="00040001" w:csb1="00000000"/>
  </w:font>
  <w:font w:name="方正楷体_GBK">
    <w:panose1 w:val="02000000000000000000"/>
    <w:charset w:val="86"/>
    <w:family w:val="auto"/>
    <w:pitch w:val="default"/>
    <w:sig w:usb0="00000001" w:usb1="08000000" w:usb2="00000000" w:usb3="00000000" w:csb0="00040000" w:csb1="00000000"/>
  </w:font>
  <w:font w:name="楷体_GB2312">
    <w:panose1 w:val="02010609030101010101"/>
    <w:charset w:val="86"/>
    <w:family w:val="modern"/>
    <w:pitch w:val="default"/>
    <w:sig w:usb0="00000001" w:usb1="080E0000" w:usb2="00000000" w:usb3="00000000" w:csb0="00040000" w:csb1="00000000"/>
  </w:font>
  <w:font w:name="仿宋">
    <w:altName w:val="方正仿宋_GBK"/>
    <w:panose1 w:val="02010609060101010101"/>
    <w:charset w:val="86"/>
    <w:family w:val="modern"/>
    <w:pitch w:val="default"/>
    <w:sig w:usb0="00000000" w:usb1="00000000" w:usb2="00000016" w:usb3="00000000" w:csb0="00040001" w:csb1="00000000"/>
  </w:font>
  <w:font w:name="URW Bookman">
    <w:panose1 w:val="00000400000000000000"/>
    <w:charset w:val="00"/>
    <w:family w:val="auto"/>
    <w:pitch w:val="default"/>
    <w:sig w:usb0="00000287" w:usb1="00000800" w:usb2="00000000" w:usb3="00000000" w:csb0="6000009F" w:csb1="00000000"/>
  </w:font>
  <w:font w:name="方正书宋_GBK">
    <w:panose1 w:val="02000000000000000000"/>
    <w:charset w:val="86"/>
    <w:family w:val="auto"/>
    <w:pitch w:val="default"/>
    <w:sig w:usb0="00000001" w:usb1="08000000" w:usb2="00000000" w:usb3="00000000" w:csb0="00040000" w:csb1="00000000"/>
  </w:font>
  <w:font w:name="方正宋体S-超大字符集">
    <w:panose1 w:val="02000000000000000000"/>
    <w:charset w:val="86"/>
    <w:family w:val="auto"/>
    <w:pitch w:val="default"/>
    <w:sig w:usb0="00000001" w:usb1="0800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rPr>
        <w:rFonts w:hint="eastAsia"/>
      </w:rPr>
    </w:pPr>
    <w: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true"/>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4"/>
                            <w:rPr>
                              <w:rFonts w:hint="eastAsia" w:ascii="宋体" w:hAnsi="宋体" w:eastAsia="宋体" w:cs="宋体"/>
                              <w:sz w:val="28"/>
                              <w:szCs w:val="28"/>
                            </w:rPr>
                          </w:pP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1</w:t>
                          </w:r>
                          <w:r>
                            <w:rPr>
                              <w:rFonts w:hint="eastAsia" w:ascii="宋体" w:hAnsi="宋体" w:eastAsia="宋体" w:cs="宋体"/>
                              <w:sz w:val="28"/>
                              <w:szCs w:val="28"/>
                            </w:rPr>
                            <w:fldChar w:fldCharType="end"/>
                          </w:r>
                        </w:p>
                      </w:txbxContent>
                    </wps:txbx>
                    <wps:bodyPr rot="0" spcFirstLastPara="0" vertOverflow="overflow" horzOverflow="overflow" vert="horz" wrap="none" lIns="0" tIns="0" rIns="0" bIns="0" numCol="1" spcCol="0" rtlCol="0" fromWordArt="false" anchor="t" anchorCtr="false" forceAA="false" compatLnSpc="true">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">
              <v:fill on="f" focussize="0,0"/>
              <v:stroke on="f" weight="0.5pt"/>
              <v:imagedata o:title=""/>
              <o:lock v:ext="edit" aspectratio="f"/>
              <v:textbox inset="0mm,0mm,0mm,0mm" style="mso-fit-shape-to-text:t;">
                <w:txbxContent>
                  <w:p>
                    <w:pPr>
                      <w:pStyle w:val="4"/>
                      <w:rPr>
                        <w:rFonts w:hint="eastAsia" w:ascii="宋体" w:hAnsi="宋体" w:eastAsia="宋体" w:cs="宋体"/>
                        <w:sz w:val="28"/>
                        <w:szCs w:val="28"/>
                      </w:rPr>
                    </w:pP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1</w:t>
                    </w:r>
                    <w:r>
                      <w:rPr>
                        <w:rFonts w:hint="eastAsia" w:ascii="宋体" w:hAnsi="宋体" w:eastAsia="宋体" w:cs="宋体"/>
                        <w:sz w:val="28"/>
                        <w:szCs w:val="28"/>
                      </w:rPr>
                      <w:fldChar w:fldCharType="end"/>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0"/>
  <w:bordersDoNotSurroundHeader w:val="true"/>
  <w:bordersDoNotSurroundFooter w:val="true"/>
  <w:trackRevisions w:val="true"/>
  <w:documentProtection w:enforcement="0"/>
  <w:defaultTabStop w:val="4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56F8A"/>
    <w:rsid w:val="00010B98"/>
    <w:rsid w:val="000160E8"/>
    <w:rsid w:val="0002022F"/>
    <w:rsid w:val="00022DDD"/>
    <w:rsid w:val="00023D86"/>
    <w:rsid w:val="0002733C"/>
    <w:rsid w:val="0003158A"/>
    <w:rsid w:val="00035ECB"/>
    <w:rsid w:val="000414C6"/>
    <w:rsid w:val="000460D8"/>
    <w:rsid w:val="00067748"/>
    <w:rsid w:val="00071A0D"/>
    <w:rsid w:val="00072194"/>
    <w:rsid w:val="00073560"/>
    <w:rsid w:val="00075BDE"/>
    <w:rsid w:val="00095744"/>
    <w:rsid w:val="000A154A"/>
    <w:rsid w:val="000A2269"/>
    <w:rsid w:val="000A2C33"/>
    <w:rsid w:val="000B3E79"/>
    <w:rsid w:val="000B5E12"/>
    <w:rsid w:val="000E6345"/>
    <w:rsid w:val="000F6F49"/>
    <w:rsid w:val="00115956"/>
    <w:rsid w:val="0012154C"/>
    <w:rsid w:val="00135552"/>
    <w:rsid w:val="001414FB"/>
    <w:rsid w:val="001435EB"/>
    <w:rsid w:val="001511A4"/>
    <w:rsid w:val="00151423"/>
    <w:rsid w:val="00160747"/>
    <w:rsid w:val="00162BA3"/>
    <w:rsid w:val="00164E54"/>
    <w:rsid w:val="00166D39"/>
    <w:rsid w:val="001733E9"/>
    <w:rsid w:val="00184357"/>
    <w:rsid w:val="00185A04"/>
    <w:rsid w:val="00196D2D"/>
    <w:rsid w:val="001B066E"/>
    <w:rsid w:val="001B705D"/>
    <w:rsid w:val="001F01CE"/>
    <w:rsid w:val="001F7596"/>
    <w:rsid w:val="00200C21"/>
    <w:rsid w:val="00206F7E"/>
    <w:rsid w:val="00211519"/>
    <w:rsid w:val="00217077"/>
    <w:rsid w:val="00220C13"/>
    <w:rsid w:val="00222AB8"/>
    <w:rsid w:val="0022425E"/>
    <w:rsid w:val="00241BFF"/>
    <w:rsid w:val="00250C42"/>
    <w:rsid w:val="00256C7A"/>
    <w:rsid w:val="00256F9B"/>
    <w:rsid w:val="00267818"/>
    <w:rsid w:val="00274D7C"/>
    <w:rsid w:val="00281FF2"/>
    <w:rsid w:val="0029592D"/>
    <w:rsid w:val="002A6A6E"/>
    <w:rsid w:val="002B1385"/>
    <w:rsid w:val="002B7CE2"/>
    <w:rsid w:val="002E15DE"/>
    <w:rsid w:val="002E23C2"/>
    <w:rsid w:val="002E7298"/>
    <w:rsid w:val="002F2D9B"/>
    <w:rsid w:val="002F2E81"/>
    <w:rsid w:val="002F33E1"/>
    <w:rsid w:val="00302B1E"/>
    <w:rsid w:val="00304774"/>
    <w:rsid w:val="00315DE0"/>
    <w:rsid w:val="00317818"/>
    <w:rsid w:val="00317DC7"/>
    <w:rsid w:val="00324082"/>
    <w:rsid w:val="003254B3"/>
    <w:rsid w:val="00337F39"/>
    <w:rsid w:val="00341618"/>
    <w:rsid w:val="00342FCA"/>
    <w:rsid w:val="0034352F"/>
    <w:rsid w:val="00344055"/>
    <w:rsid w:val="003542B6"/>
    <w:rsid w:val="00355B07"/>
    <w:rsid w:val="003574E0"/>
    <w:rsid w:val="003576CC"/>
    <w:rsid w:val="0035793A"/>
    <w:rsid w:val="00367741"/>
    <w:rsid w:val="003B0093"/>
    <w:rsid w:val="003B4738"/>
    <w:rsid w:val="003B78D0"/>
    <w:rsid w:val="003C6B90"/>
    <w:rsid w:val="003E517D"/>
    <w:rsid w:val="003F61A5"/>
    <w:rsid w:val="0040193D"/>
    <w:rsid w:val="004030D0"/>
    <w:rsid w:val="00403C3E"/>
    <w:rsid w:val="004047F5"/>
    <w:rsid w:val="004071DA"/>
    <w:rsid w:val="00413CD4"/>
    <w:rsid w:val="004151FC"/>
    <w:rsid w:val="00420360"/>
    <w:rsid w:val="00424D46"/>
    <w:rsid w:val="00436311"/>
    <w:rsid w:val="004405A0"/>
    <w:rsid w:val="00444C8F"/>
    <w:rsid w:val="00463D6B"/>
    <w:rsid w:val="00467B2E"/>
    <w:rsid w:val="004706B4"/>
    <w:rsid w:val="00483952"/>
    <w:rsid w:val="00490F23"/>
    <w:rsid w:val="00497711"/>
    <w:rsid w:val="004B3C52"/>
    <w:rsid w:val="004C02AC"/>
    <w:rsid w:val="004C0BEB"/>
    <w:rsid w:val="004E0968"/>
    <w:rsid w:val="004F36C3"/>
    <w:rsid w:val="0050138E"/>
    <w:rsid w:val="00505949"/>
    <w:rsid w:val="00517980"/>
    <w:rsid w:val="00524B86"/>
    <w:rsid w:val="00531071"/>
    <w:rsid w:val="00551F9E"/>
    <w:rsid w:val="00552D6E"/>
    <w:rsid w:val="00553468"/>
    <w:rsid w:val="005720E0"/>
    <w:rsid w:val="0057571B"/>
    <w:rsid w:val="00587ED6"/>
    <w:rsid w:val="00593667"/>
    <w:rsid w:val="00597390"/>
    <w:rsid w:val="005A72A2"/>
    <w:rsid w:val="005A778A"/>
    <w:rsid w:val="005B3F34"/>
    <w:rsid w:val="005B5487"/>
    <w:rsid w:val="005B62D1"/>
    <w:rsid w:val="005C0AE8"/>
    <w:rsid w:val="005C13CF"/>
    <w:rsid w:val="005E2B65"/>
    <w:rsid w:val="005F25A5"/>
    <w:rsid w:val="005F4DB6"/>
    <w:rsid w:val="0060239A"/>
    <w:rsid w:val="0061085B"/>
    <w:rsid w:val="00612A31"/>
    <w:rsid w:val="00617A52"/>
    <w:rsid w:val="00650E0D"/>
    <w:rsid w:val="00657722"/>
    <w:rsid w:val="00661978"/>
    <w:rsid w:val="00665FB4"/>
    <w:rsid w:val="006742F5"/>
    <w:rsid w:val="00680FB3"/>
    <w:rsid w:val="006816D4"/>
    <w:rsid w:val="00690300"/>
    <w:rsid w:val="006949E6"/>
    <w:rsid w:val="00697D49"/>
    <w:rsid w:val="006A03CC"/>
    <w:rsid w:val="006A3285"/>
    <w:rsid w:val="006A341F"/>
    <w:rsid w:val="006A3E34"/>
    <w:rsid w:val="006A54AA"/>
    <w:rsid w:val="006A6993"/>
    <w:rsid w:val="006A7592"/>
    <w:rsid w:val="006A79F6"/>
    <w:rsid w:val="006B67B3"/>
    <w:rsid w:val="006C0051"/>
    <w:rsid w:val="006C7328"/>
    <w:rsid w:val="006C7D50"/>
    <w:rsid w:val="006D4348"/>
    <w:rsid w:val="006D485D"/>
    <w:rsid w:val="006D7EE1"/>
    <w:rsid w:val="006E6923"/>
    <w:rsid w:val="006F1498"/>
    <w:rsid w:val="006F1967"/>
    <w:rsid w:val="006F3DD3"/>
    <w:rsid w:val="006F514D"/>
    <w:rsid w:val="00701480"/>
    <w:rsid w:val="0070402F"/>
    <w:rsid w:val="007106E3"/>
    <w:rsid w:val="007124DF"/>
    <w:rsid w:val="007132A3"/>
    <w:rsid w:val="00714EDD"/>
    <w:rsid w:val="00716B73"/>
    <w:rsid w:val="00736011"/>
    <w:rsid w:val="00744C0E"/>
    <w:rsid w:val="007478A5"/>
    <w:rsid w:val="007515EF"/>
    <w:rsid w:val="00756F8A"/>
    <w:rsid w:val="007803B6"/>
    <w:rsid w:val="00782089"/>
    <w:rsid w:val="00792356"/>
    <w:rsid w:val="007B6D2D"/>
    <w:rsid w:val="007D7480"/>
    <w:rsid w:val="007E2099"/>
    <w:rsid w:val="007E40D5"/>
    <w:rsid w:val="007F22EE"/>
    <w:rsid w:val="007F3628"/>
    <w:rsid w:val="007F52C1"/>
    <w:rsid w:val="007F7B95"/>
    <w:rsid w:val="008062A5"/>
    <w:rsid w:val="00807EA2"/>
    <w:rsid w:val="00820A36"/>
    <w:rsid w:val="008214F5"/>
    <w:rsid w:val="00822711"/>
    <w:rsid w:val="00833EB5"/>
    <w:rsid w:val="00847EB5"/>
    <w:rsid w:val="00856533"/>
    <w:rsid w:val="00860BE7"/>
    <w:rsid w:val="00864FFF"/>
    <w:rsid w:val="008676DC"/>
    <w:rsid w:val="00875448"/>
    <w:rsid w:val="00890A24"/>
    <w:rsid w:val="00891AD3"/>
    <w:rsid w:val="00892C76"/>
    <w:rsid w:val="008B6AA2"/>
    <w:rsid w:val="008C5828"/>
    <w:rsid w:val="008D206E"/>
    <w:rsid w:val="008D269E"/>
    <w:rsid w:val="008E2A12"/>
    <w:rsid w:val="008E7E07"/>
    <w:rsid w:val="008F0809"/>
    <w:rsid w:val="008F1E81"/>
    <w:rsid w:val="008F2234"/>
    <w:rsid w:val="009040E8"/>
    <w:rsid w:val="0092182B"/>
    <w:rsid w:val="00921EF0"/>
    <w:rsid w:val="00932BC3"/>
    <w:rsid w:val="0095630E"/>
    <w:rsid w:val="00957473"/>
    <w:rsid w:val="00970584"/>
    <w:rsid w:val="00971FF3"/>
    <w:rsid w:val="00972D0F"/>
    <w:rsid w:val="00983B14"/>
    <w:rsid w:val="00992F7E"/>
    <w:rsid w:val="009A11FD"/>
    <w:rsid w:val="009A3923"/>
    <w:rsid w:val="009B0FAA"/>
    <w:rsid w:val="009B4AA7"/>
    <w:rsid w:val="009B6F56"/>
    <w:rsid w:val="009C040B"/>
    <w:rsid w:val="009C7D15"/>
    <w:rsid w:val="009D08F5"/>
    <w:rsid w:val="009D13FF"/>
    <w:rsid w:val="009E18DB"/>
    <w:rsid w:val="009E6841"/>
    <w:rsid w:val="009F7056"/>
    <w:rsid w:val="009F79A5"/>
    <w:rsid w:val="009F7D37"/>
    <w:rsid w:val="00A00467"/>
    <w:rsid w:val="00A03E1A"/>
    <w:rsid w:val="00A04E2A"/>
    <w:rsid w:val="00A05FAC"/>
    <w:rsid w:val="00A134BD"/>
    <w:rsid w:val="00A13C54"/>
    <w:rsid w:val="00A17257"/>
    <w:rsid w:val="00A2458D"/>
    <w:rsid w:val="00A43DE2"/>
    <w:rsid w:val="00A44ABD"/>
    <w:rsid w:val="00A66110"/>
    <w:rsid w:val="00A722F9"/>
    <w:rsid w:val="00A82051"/>
    <w:rsid w:val="00A92051"/>
    <w:rsid w:val="00A9322B"/>
    <w:rsid w:val="00AA01E9"/>
    <w:rsid w:val="00AA2A9E"/>
    <w:rsid w:val="00AA3F84"/>
    <w:rsid w:val="00AA4407"/>
    <w:rsid w:val="00AC3E25"/>
    <w:rsid w:val="00AC5326"/>
    <w:rsid w:val="00AC6A6B"/>
    <w:rsid w:val="00AE4A74"/>
    <w:rsid w:val="00AE69D7"/>
    <w:rsid w:val="00AF5CD0"/>
    <w:rsid w:val="00AF627C"/>
    <w:rsid w:val="00B00693"/>
    <w:rsid w:val="00B018F0"/>
    <w:rsid w:val="00B0244D"/>
    <w:rsid w:val="00B03BD7"/>
    <w:rsid w:val="00B06749"/>
    <w:rsid w:val="00B07778"/>
    <w:rsid w:val="00B0798D"/>
    <w:rsid w:val="00B11A6F"/>
    <w:rsid w:val="00B43607"/>
    <w:rsid w:val="00B608C0"/>
    <w:rsid w:val="00B818CA"/>
    <w:rsid w:val="00B9709C"/>
    <w:rsid w:val="00BB0242"/>
    <w:rsid w:val="00BB41AC"/>
    <w:rsid w:val="00BB7297"/>
    <w:rsid w:val="00BC46AF"/>
    <w:rsid w:val="00BC4A1B"/>
    <w:rsid w:val="00BC7A97"/>
    <w:rsid w:val="00BC7EC0"/>
    <w:rsid w:val="00BD6F38"/>
    <w:rsid w:val="00BE7630"/>
    <w:rsid w:val="00BF18A3"/>
    <w:rsid w:val="00BF6AEF"/>
    <w:rsid w:val="00BF71E4"/>
    <w:rsid w:val="00C02046"/>
    <w:rsid w:val="00C11FF1"/>
    <w:rsid w:val="00C137B5"/>
    <w:rsid w:val="00C13839"/>
    <w:rsid w:val="00C35A2C"/>
    <w:rsid w:val="00C441A7"/>
    <w:rsid w:val="00C55CAC"/>
    <w:rsid w:val="00C616E1"/>
    <w:rsid w:val="00C77CE2"/>
    <w:rsid w:val="00C97E96"/>
    <w:rsid w:val="00CB2A31"/>
    <w:rsid w:val="00CB4CF9"/>
    <w:rsid w:val="00CC0A6F"/>
    <w:rsid w:val="00CD0453"/>
    <w:rsid w:val="00CD3D45"/>
    <w:rsid w:val="00D16DE0"/>
    <w:rsid w:val="00D1712F"/>
    <w:rsid w:val="00D30A5C"/>
    <w:rsid w:val="00D345A5"/>
    <w:rsid w:val="00D34C47"/>
    <w:rsid w:val="00D4049A"/>
    <w:rsid w:val="00D4259B"/>
    <w:rsid w:val="00D4415F"/>
    <w:rsid w:val="00D54DB1"/>
    <w:rsid w:val="00D70D32"/>
    <w:rsid w:val="00D715F6"/>
    <w:rsid w:val="00D74944"/>
    <w:rsid w:val="00D817AC"/>
    <w:rsid w:val="00D83F93"/>
    <w:rsid w:val="00D937E9"/>
    <w:rsid w:val="00D93AD6"/>
    <w:rsid w:val="00DA0BEF"/>
    <w:rsid w:val="00DA6E8A"/>
    <w:rsid w:val="00DC0FDF"/>
    <w:rsid w:val="00DC5437"/>
    <w:rsid w:val="00DD39E2"/>
    <w:rsid w:val="00DD4527"/>
    <w:rsid w:val="00DE52BE"/>
    <w:rsid w:val="00DF004D"/>
    <w:rsid w:val="00DF4EF3"/>
    <w:rsid w:val="00E0057C"/>
    <w:rsid w:val="00E04A03"/>
    <w:rsid w:val="00E10B9B"/>
    <w:rsid w:val="00E13794"/>
    <w:rsid w:val="00E24AC9"/>
    <w:rsid w:val="00E279E5"/>
    <w:rsid w:val="00E3004F"/>
    <w:rsid w:val="00E71027"/>
    <w:rsid w:val="00E744CC"/>
    <w:rsid w:val="00E8309F"/>
    <w:rsid w:val="00EA6F23"/>
    <w:rsid w:val="00EB4CE3"/>
    <w:rsid w:val="00EB6F31"/>
    <w:rsid w:val="00EC0D4F"/>
    <w:rsid w:val="00EC26B6"/>
    <w:rsid w:val="00EC3ED0"/>
    <w:rsid w:val="00ED1F2D"/>
    <w:rsid w:val="00ED2542"/>
    <w:rsid w:val="00ED5ADF"/>
    <w:rsid w:val="00EF7450"/>
    <w:rsid w:val="00EF7697"/>
    <w:rsid w:val="00EF7BF6"/>
    <w:rsid w:val="00F07661"/>
    <w:rsid w:val="00F07C7B"/>
    <w:rsid w:val="00F1142D"/>
    <w:rsid w:val="00F27ABF"/>
    <w:rsid w:val="00F43366"/>
    <w:rsid w:val="00F449B6"/>
    <w:rsid w:val="00F451B1"/>
    <w:rsid w:val="00F46B15"/>
    <w:rsid w:val="00F52321"/>
    <w:rsid w:val="00F54E87"/>
    <w:rsid w:val="00F672D1"/>
    <w:rsid w:val="00F7566D"/>
    <w:rsid w:val="00F75A98"/>
    <w:rsid w:val="00F76F96"/>
    <w:rsid w:val="00F77EBD"/>
    <w:rsid w:val="00F93B2F"/>
    <w:rsid w:val="00F93E58"/>
    <w:rsid w:val="00F95991"/>
    <w:rsid w:val="00FA5B7C"/>
    <w:rsid w:val="00FA6AFD"/>
    <w:rsid w:val="00FB04C3"/>
    <w:rsid w:val="00FC45E8"/>
    <w:rsid w:val="00FD1E8C"/>
    <w:rsid w:val="00FE6CFB"/>
    <w:rsid w:val="00FE728B"/>
    <w:rsid w:val="00FE7DEB"/>
    <w:rsid w:val="0F764928"/>
    <w:rsid w:val="1E7B8BCA"/>
    <w:rsid w:val="24DFD643"/>
    <w:rsid w:val="2FFE424C"/>
    <w:rsid w:val="376B3198"/>
    <w:rsid w:val="37DF27DB"/>
    <w:rsid w:val="3D951DF2"/>
    <w:rsid w:val="3DDF209B"/>
    <w:rsid w:val="3F7745FE"/>
    <w:rsid w:val="3FF7D24B"/>
    <w:rsid w:val="46F7A32F"/>
    <w:rsid w:val="5B9F4B88"/>
    <w:rsid w:val="5FBA0B9F"/>
    <w:rsid w:val="6BFB99C7"/>
    <w:rsid w:val="6DF3F9AD"/>
    <w:rsid w:val="707C9E31"/>
    <w:rsid w:val="717E7E91"/>
    <w:rsid w:val="77FBDAF2"/>
    <w:rsid w:val="7BCF4C8F"/>
    <w:rsid w:val="7BDFCEE6"/>
    <w:rsid w:val="7DBED5D3"/>
    <w:rsid w:val="7E9EB118"/>
    <w:rsid w:val="7EEF1261"/>
    <w:rsid w:val="7F38F15C"/>
    <w:rsid w:val="7F6FFCC4"/>
    <w:rsid w:val="7FCFE775"/>
    <w:rsid w:val="7FFF8A18"/>
    <w:rsid w:val="7FFFE2F9"/>
    <w:rsid w:val="8179D303"/>
    <w:rsid w:val="93EBC447"/>
    <w:rsid w:val="96BF430E"/>
    <w:rsid w:val="9BFE784F"/>
    <w:rsid w:val="AB3F3D7D"/>
    <w:rsid w:val="AF7F15AA"/>
    <w:rsid w:val="B69F1385"/>
    <w:rsid w:val="BC7E1A1A"/>
    <w:rsid w:val="BDDB4B53"/>
    <w:rsid w:val="BF7AE135"/>
    <w:rsid w:val="BFFD978B"/>
    <w:rsid w:val="CDD5AEFA"/>
    <w:rsid w:val="D475E419"/>
    <w:rsid w:val="D6FF5582"/>
    <w:rsid w:val="D7F6D212"/>
    <w:rsid w:val="DC3FC848"/>
    <w:rsid w:val="DFEB1457"/>
    <w:rsid w:val="E9137079"/>
    <w:rsid w:val="EA7B698B"/>
    <w:rsid w:val="F3F1615D"/>
    <w:rsid w:val="F57D5267"/>
    <w:rsid w:val="F6BB68E0"/>
    <w:rsid w:val="F9B79FD9"/>
    <w:rsid w:val="FC6F06CA"/>
    <w:rsid w:val="FD54A7EA"/>
    <w:rsid w:val="FDDF3DB0"/>
    <w:rsid w:val="FE6EC56B"/>
    <w:rsid w:val="FE7DC502"/>
    <w:rsid w:val="FE7EFE19"/>
    <w:rsid w:val="FEAE7D28"/>
    <w:rsid w:val="FFDF6694"/>
    <w:rsid w:val="FFFA0BFC"/>
    <w:rsid w:val="FFFFDB9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semiHidden="0" w:name="heading 2"/>
    <w:lsdException w:qFormat="1" w:uiPriority="9" w:semiHidden="0"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nhideWhenUsed="0" w:uiPriority="0"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semiHidden="0"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0" w:semiHidden="0" w:name="Strong"/>
    <w:lsdException w:qFormat="1" w:unhideWhenUsed="0" w:uiPriority="20" w:semiHidden="0" w:name="Emphasis"/>
    <w:lsdException w:uiPriority="99" w:name="Document Map"/>
    <w:lsdException w:uiPriority="99" w:name="Plain Text"/>
    <w:lsdException w:uiPriority="99" w:name="E-mail Signature"/>
    <w:lsdException w:qFormat="1"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heme="minorBidi"/>
      <w:kern w:val="2"/>
      <w:sz w:val="21"/>
      <w:szCs w:val="22"/>
      <w:lang w:val="en-US" w:eastAsia="zh-CN" w:bidi="ar-SA"/>
      <w14:ligatures w14:val="standardContextual"/>
    </w:rPr>
  </w:style>
  <w:style w:type="paragraph" w:styleId="3">
    <w:name w:val="heading 2"/>
    <w:basedOn w:val="1"/>
    <w:next w:val="1"/>
    <w:link w:val="10"/>
    <w:unhideWhenUsed/>
    <w:qFormat/>
    <w:uiPriority w:val="9"/>
    <w:pPr>
      <w:keepNext/>
      <w:keepLines/>
      <w:spacing w:line="560" w:lineRule="exact"/>
      <w:ind w:firstLine="640" w:firstLineChars="200"/>
      <w:outlineLvl w:val="1"/>
    </w:pPr>
    <w:rPr>
      <w:rFonts w:ascii="仿宋_GB2312" w:hAnsi="仿宋_GB2312" w:eastAsia="仿宋_GB2312" w:cs="仿宋_GB2312"/>
      <w:b/>
      <w:bCs/>
      <w:sz w:val="32"/>
      <w:szCs w:val="32"/>
      <w14:ligatures w14:val="none"/>
    </w:rPr>
  </w:style>
  <w:style w:type="paragraph" w:styleId="2">
    <w:name w:val="heading 3"/>
    <w:basedOn w:val="1"/>
    <w:next w:val="1"/>
    <w:link w:val="15"/>
    <w:unhideWhenUsed/>
    <w:qFormat/>
    <w:uiPriority w:val="9"/>
    <w:pPr>
      <w:keepNext/>
      <w:keepLines/>
      <w:spacing w:before="260" w:after="260" w:line="416" w:lineRule="auto"/>
      <w:outlineLvl w:val="2"/>
    </w:pPr>
    <w:rPr>
      <w:b/>
      <w:bCs/>
      <w:sz w:val="32"/>
      <w:szCs w:val="32"/>
    </w:rPr>
  </w:style>
  <w:style w:type="character" w:default="1" w:styleId="8">
    <w:name w:val="Default Paragraph Font"/>
    <w:unhideWhenUsed/>
    <w:qFormat/>
    <w:uiPriority w:val="1"/>
  </w:style>
  <w:style w:type="table" w:default="1" w:styleId="7">
    <w:name w:val="Normal Table"/>
    <w:semiHidden/>
    <w:unhideWhenUsed/>
    <w:qFormat/>
    <w:uiPriority w:val="99"/>
    <w:tblPr>
      <w:tblCellMar>
        <w:top w:w="0" w:type="dxa"/>
        <w:left w:w="108" w:type="dxa"/>
        <w:bottom w:w="0" w:type="dxa"/>
        <w:right w:w="108" w:type="dxa"/>
      </w:tblCellMar>
    </w:tblPr>
  </w:style>
  <w:style w:type="paragraph" w:styleId="4">
    <w:name w:val="footer"/>
    <w:basedOn w:val="1"/>
    <w:link w:val="11"/>
    <w:qFormat/>
    <w:uiPriority w:val="0"/>
    <w:pPr>
      <w:tabs>
        <w:tab w:val="center" w:pos="4153"/>
        <w:tab w:val="right" w:pos="8306"/>
      </w:tabs>
      <w:snapToGrid w:val="0"/>
      <w:spacing w:after="160" w:line="278" w:lineRule="auto"/>
      <w:jc w:val="left"/>
    </w:pPr>
    <w:rPr>
      <w:rFonts w:asciiTheme="minorHAnsi" w:hAnsiTheme="minorHAnsi" w:eastAsiaTheme="minorEastAsia"/>
      <w:sz w:val="18"/>
      <w:szCs w:val="24"/>
      <w14:ligatures w14:val="none"/>
    </w:rPr>
  </w:style>
  <w:style w:type="paragraph" w:styleId="5">
    <w:name w:val="header"/>
    <w:basedOn w:val="1"/>
    <w:link w:val="14"/>
    <w:unhideWhenUsed/>
    <w:qFormat/>
    <w:uiPriority w:val="99"/>
    <w:pPr>
      <w:tabs>
        <w:tab w:val="center" w:pos="4153"/>
        <w:tab w:val="right" w:pos="8306"/>
      </w:tabs>
      <w:snapToGrid w:val="0"/>
      <w:jc w:val="center"/>
    </w:pPr>
    <w:rPr>
      <w:sz w:val="18"/>
      <w:szCs w:val="18"/>
    </w:rPr>
  </w:style>
  <w:style w:type="paragraph" w:styleId="6">
    <w:name w:val="Normal (Web)"/>
    <w:basedOn w:val="1"/>
    <w:semiHidden/>
    <w:unhideWhenUsed/>
    <w:qFormat/>
    <w:uiPriority w:val="99"/>
    <w:rPr>
      <w:rFonts w:cs="Times New Roman"/>
      <w:sz w:val="24"/>
      <w:szCs w:val="24"/>
    </w:rPr>
  </w:style>
  <w:style w:type="character" w:styleId="9">
    <w:name w:val="Strong"/>
    <w:basedOn w:val="8"/>
    <w:qFormat/>
    <w:uiPriority w:val="0"/>
    <w:rPr>
      <w:b/>
    </w:rPr>
  </w:style>
  <w:style w:type="character" w:customStyle="1" w:styleId="10">
    <w:name w:val="标题 2 字符"/>
    <w:basedOn w:val="8"/>
    <w:link w:val="3"/>
    <w:qFormat/>
    <w:uiPriority w:val="9"/>
    <w:rPr>
      <w:rFonts w:ascii="仿宋_GB2312" w:hAnsi="仿宋_GB2312" w:eastAsia="仿宋_GB2312" w:cs="仿宋_GB2312"/>
      <w:b/>
      <w:bCs/>
      <w:sz w:val="32"/>
      <w:szCs w:val="32"/>
      <w14:ligatures w14:val="none"/>
    </w:rPr>
  </w:style>
  <w:style w:type="character" w:customStyle="1" w:styleId="11">
    <w:name w:val="页脚 字符"/>
    <w:basedOn w:val="8"/>
    <w:link w:val="4"/>
    <w:qFormat/>
    <w:uiPriority w:val="0"/>
    <w:rPr>
      <w:sz w:val="18"/>
      <w:szCs w:val="24"/>
      <w14:ligatures w14:val="none"/>
    </w:rPr>
  </w:style>
  <w:style w:type="paragraph" w:customStyle="1" w:styleId="12">
    <w:name w:val="Default"/>
    <w:qFormat/>
    <w:uiPriority w:val="99"/>
    <w:pPr>
      <w:widowControl w:val="0"/>
      <w:autoSpaceDE w:val="0"/>
      <w:autoSpaceDN w:val="0"/>
      <w:adjustRightInd w:val="0"/>
      <w:spacing w:after="160" w:line="278" w:lineRule="auto"/>
    </w:pPr>
    <w:rPr>
      <w:rFonts w:ascii="方正仿宋_GBK" w:hAnsi="方正仿宋_GBK" w:eastAsia="方正仿宋_GBK" w:cs="方正仿宋_GBK"/>
      <w:color w:val="000000"/>
      <w:kern w:val="0"/>
      <w:sz w:val="24"/>
      <w:szCs w:val="24"/>
      <w:lang w:val="en-US" w:eastAsia="zh-CN" w:bidi="ar-SA"/>
      <w14:ligatures w14:val="none"/>
    </w:rPr>
  </w:style>
  <w:style w:type="paragraph" w:styleId="13">
    <w:name w:val="List Paragraph"/>
    <w:basedOn w:val="1"/>
    <w:qFormat/>
    <w:uiPriority w:val="34"/>
    <w:pPr>
      <w:ind w:firstLine="420" w:firstLineChars="200"/>
    </w:pPr>
  </w:style>
  <w:style w:type="character" w:customStyle="1" w:styleId="14">
    <w:name w:val="页眉 字符"/>
    <w:basedOn w:val="8"/>
    <w:link w:val="5"/>
    <w:qFormat/>
    <w:uiPriority w:val="99"/>
    <w:rPr>
      <w:rFonts w:ascii="Times New Roman" w:hAnsi="Times New Roman" w:eastAsia="宋体"/>
      <w:sz w:val="18"/>
      <w:szCs w:val="18"/>
    </w:rPr>
  </w:style>
  <w:style w:type="character" w:customStyle="1" w:styleId="15">
    <w:name w:val="标题 3 字符"/>
    <w:basedOn w:val="8"/>
    <w:link w:val="2"/>
    <w:qFormat/>
    <w:uiPriority w:val="9"/>
    <w:rPr>
      <w:rFonts w:ascii="Times New Roman" w:hAnsi="Times New Roman" w:eastAsia="宋体"/>
      <w:b/>
      <w:bCs/>
      <w:sz w:val="32"/>
      <w:szCs w:val="32"/>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true">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false"/>
        </a:gradFill>
        <a:gradFill rotWithShape="true">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false"/>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true">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false"/>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6</Pages>
  <Words>462</Words>
  <Characters>2639</Characters>
  <Lines>21</Lines>
  <Paragraphs>6</Paragraphs>
  <TotalTime>2</TotalTime>
  <ScaleCrop>false</ScaleCrop>
  <LinksUpToDate>false</LinksUpToDate>
  <CharactersWithSpaces>3095</CharactersWithSpaces>
  <Application>WPS Office_11.8.2.10505_F1E327BC-269C-435d-A152-05C5408002CA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2024-12-01T23:48:00Z</dcterms:created>
  <dc:creator>Jiehan Dree</dc:creator>
  <cp:lastModifiedBy>user</cp:lastModifiedBy>
  <dcterms:modified xsi:type="dcterms:W3CDTF">2025-01-07T11:51:22Z</dcterms:modified>
  <dc:title>附件2</dc:title>
  <cp:revision>1673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2052-11.8.2.10505</vt:lpwstr>
  </property>
</Properties>
</file>